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Default Extension="emf" ContentType="image/x-emf"/>
  <Override PartName="/customXml/itemProps2.xml" ContentType="application/vnd.openxmlformats-officedocument.customXml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webSettings.xml" ContentType="application/vnd.openxmlformats-officedocument.wordprocessingml.webSettings+xml"/>
  <Override PartName="/customXml/item4.xml" ContentType="application/xml"/>
  <Override PartName="/word/document.xml" ContentType="application/vnd.openxmlformats-officedocument.wordprocessingml.document.main+xml"/>
  <Override PartName="/docProps/custom.xml" ContentType="application/vnd.openxmlformats-officedocument.custom-properties+xml"/>
  <Override PartName="/word/header3.xml" ContentType="application/vnd.openxmlformats-officedocument.wordprocessingml.header+xml"/>
  <Default Extension="png" ContentType="image/png"/>
  <Override PartName="/word/settings.xml" ContentType="application/vnd.openxmlformats-officedocument.wordprocessingml.settings+xml"/>
  <Override PartName="/word/charts/chart1.xml" ContentType="application/vnd.openxmlformats-officedocument.drawingml.chart+xml"/>
  <Override PartName="/word/numbering.xml" ContentType="application/vnd.openxmlformats-officedocument.wordprocessingml.numbering+xml"/>
  <Override PartName="/customXml/item2.xml" ContentType="application/xml"/>
  <Default Extension="gif" ContentType="image/gif"/>
  <Override PartName="/word/endnotes.xml" ContentType="application/vnd.openxmlformats-officedocument.wordprocessingml.endnotes+xml"/>
  <Override PartName="/word/theme/theme1.xml" ContentType="application/vnd.openxmlformats-officedocument.theme+xml"/>
  <Override PartName="/customXml/item1.xml" ContentType="application/xml"/>
  <Override PartName="/customXml/item3.xml" ContentType="application/xml"/>
  <Override PartName="/customXml/itemProps4.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3.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F3" w:rsidRDefault="00C53CF3" w:rsidP="001A4CB2">
      <w:pPr>
        <w:rPr>
          <w:rFonts w:ascii="Arial Black" w:hAnsi="Arial Black" w:cs="Arial"/>
          <w:sz w:val="48"/>
          <w:szCs w:val="48"/>
        </w:rPr>
      </w:pPr>
    </w:p>
    <w:p w:rsidR="00C53CF3" w:rsidRPr="00C701FE" w:rsidRDefault="00EC6103" w:rsidP="009B2651">
      <w:pPr>
        <w:jc w:val="center"/>
        <w:rPr>
          <w:rFonts w:ascii="Arial Black" w:hAnsi="Arial Black" w:cs="Arial"/>
          <w:sz w:val="36"/>
          <w:szCs w:val="36"/>
        </w:rPr>
      </w:pPr>
      <w:bookmarkStart w:id="0" w:name="_Toc286034085"/>
      <w:bookmarkStart w:id="1" w:name="_Toc286034676"/>
      <w:bookmarkStart w:id="2" w:name="_Toc286034764"/>
      <w:r w:rsidRPr="00C701FE">
        <w:rPr>
          <w:rFonts w:ascii="Arial Black" w:hAnsi="Arial Black" w:cs="Arial"/>
          <w:sz w:val="36"/>
          <w:szCs w:val="36"/>
        </w:rPr>
        <w:t>S</w:t>
      </w:r>
      <w:r w:rsidR="00C53CF3" w:rsidRPr="00C701FE">
        <w:rPr>
          <w:rFonts w:ascii="Arial Black" w:hAnsi="Arial Black" w:cs="Arial"/>
          <w:sz w:val="36"/>
          <w:szCs w:val="36"/>
        </w:rPr>
        <w:t>CHEDULE A</w:t>
      </w:r>
      <w:bookmarkEnd w:id="0"/>
      <w:bookmarkEnd w:id="1"/>
      <w:bookmarkEnd w:id="2"/>
    </w:p>
    <w:p w:rsidR="00EC6103" w:rsidRPr="00C701FE" w:rsidRDefault="00F444CE" w:rsidP="003E133E">
      <w:pPr>
        <w:jc w:val="center"/>
        <w:rPr>
          <w:rFonts w:ascii="Arial Black" w:hAnsi="Arial Black" w:cs="Arial"/>
          <w:sz w:val="36"/>
          <w:szCs w:val="36"/>
        </w:rPr>
      </w:pPr>
      <w:bookmarkStart w:id="3" w:name="_Toc286034086"/>
      <w:bookmarkStart w:id="4" w:name="_Toc286034677"/>
      <w:bookmarkStart w:id="5" w:name="_Toc286034765"/>
      <w:r>
        <w:rPr>
          <w:rFonts w:ascii="Arial Black" w:hAnsi="Arial Black" w:cs="Arial"/>
          <w:sz w:val="36"/>
          <w:szCs w:val="36"/>
        </w:rPr>
        <w:t xml:space="preserve"> </w:t>
      </w:r>
      <w:r w:rsidR="009B2651">
        <w:rPr>
          <w:rFonts w:ascii="Arial Black" w:hAnsi="Arial Black" w:cs="Arial"/>
          <w:sz w:val="36"/>
          <w:szCs w:val="36"/>
        </w:rPr>
        <w:t>FINAL</w:t>
      </w:r>
      <w:r>
        <w:rPr>
          <w:rFonts w:ascii="Arial Black" w:hAnsi="Arial Black" w:cs="Arial"/>
          <w:sz w:val="36"/>
          <w:szCs w:val="36"/>
        </w:rPr>
        <w:t xml:space="preserve"> </w:t>
      </w:r>
      <w:r w:rsidR="00EC6103" w:rsidRPr="00C701FE">
        <w:rPr>
          <w:rFonts w:ascii="Arial Black" w:hAnsi="Arial Black" w:cs="Arial"/>
          <w:sz w:val="36"/>
          <w:szCs w:val="36"/>
        </w:rPr>
        <w:t>A</w:t>
      </w:r>
      <w:r w:rsidR="00C53CF3" w:rsidRPr="00C701FE">
        <w:rPr>
          <w:rFonts w:ascii="Arial Black" w:hAnsi="Arial Black" w:cs="Arial"/>
          <w:sz w:val="36"/>
          <w:szCs w:val="36"/>
        </w:rPr>
        <w:t xml:space="preserve">NNUAL BUDGET AND SUPPORTING DOCUMENTATION </w:t>
      </w:r>
      <w:bookmarkEnd w:id="3"/>
      <w:bookmarkEnd w:id="4"/>
      <w:bookmarkEnd w:id="5"/>
      <w:r w:rsidR="00E774DD" w:rsidRPr="00C701FE">
        <w:rPr>
          <w:rFonts w:ascii="Arial Black" w:hAnsi="Arial Black" w:cs="Arial"/>
          <w:sz w:val="36"/>
          <w:szCs w:val="36"/>
        </w:rPr>
        <w:t>FOR CHRIS HANI DISTRICT MUNICIPALITY</w:t>
      </w:r>
    </w:p>
    <w:p w:rsidR="00281E23" w:rsidRDefault="00281E23" w:rsidP="003E133E">
      <w:pPr>
        <w:jc w:val="center"/>
        <w:rPr>
          <w:rFonts w:ascii="Arial" w:hAnsi="Arial" w:cs="Arial"/>
        </w:rPr>
      </w:pPr>
    </w:p>
    <w:p w:rsidR="00C701FE" w:rsidRDefault="00C701FE" w:rsidP="003E133E">
      <w:pPr>
        <w:jc w:val="center"/>
        <w:rPr>
          <w:rFonts w:ascii="Arial" w:hAnsi="Arial" w:cs="Arial"/>
        </w:rPr>
      </w:pPr>
      <w:r w:rsidRPr="00BE4DAD">
        <w:rPr>
          <w:b/>
          <w:noProof/>
          <w:sz w:val="40"/>
          <w:szCs w:val="40"/>
          <w:lang w:val="en-US" w:eastAsia="en-US"/>
        </w:rPr>
        <w:drawing>
          <wp:inline distT="0" distB="0" distL="0" distR="0" wp14:anchorId="0949C660" wp14:editId="6E4BF5AA">
            <wp:extent cx="2381250" cy="2495550"/>
            <wp:effectExtent l="19050" t="0" r="0" b="0"/>
            <wp:docPr id="5" name="Picture 5" descr="COA_vert_clr_slogan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vert_clr_slogan_high"/>
                    <pic:cNvPicPr>
                      <a:picLocks noChangeAspect="1" noChangeArrowheads="1"/>
                    </pic:cNvPicPr>
                  </pic:nvPicPr>
                  <pic:blipFill>
                    <a:blip r:embed="rId11" cstate="print"/>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C701FE" w:rsidRDefault="00C701FE" w:rsidP="003E133E">
      <w:pPr>
        <w:jc w:val="center"/>
        <w:rPr>
          <w:rFonts w:ascii="Arial" w:hAnsi="Arial" w:cs="Arial"/>
        </w:rPr>
        <w:sectPr w:rsidR="00C701FE" w:rsidSect="004E157C">
          <w:headerReference w:type="first" r:id="rId12"/>
          <w:footerReference w:type="first" r:id="rId13"/>
          <w:pgSz w:w="12240" w:h="15840"/>
          <w:pgMar w:top="1440" w:right="1440" w:bottom="1440" w:left="1440" w:header="708" w:footer="708" w:gutter="0"/>
          <w:pgNumType w:start="1"/>
          <w:cols w:space="708"/>
          <w:titlePg/>
          <w:docGrid w:linePitch="360"/>
        </w:sectPr>
      </w:pPr>
    </w:p>
    <w:p w:rsidR="005264E8" w:rsidRDefault="005264E8" w:rsidP="00EC6103">
      <w:pPr>
        <w:jc w:val="center"/>
        <w:rPr>
          <w:rFonts w:ascii="Arial" w:hAnsi="Arial" w:cs="Arial"/>
        </w:rPr>
      </w:pPr>
    </w:p>
    <w:p w:rsidR="005264E8" w:rsidRDefault="005264E8" w:rsidP="00EC6103">
      <w:pPr>
        <w:jc w:val="center"/>
        <w:rPr>
          <w:rFonts w:ascii="Arial" w:hAnsi="Arial" w:cs="Arial"/>
        </w:rPr>
      </w:pPr>
    </w:p>
    <w:p w:rsidR="0019235A" w:rsidRPr="004347B6" w:rsidRDefault="009B2651" w:rsidP="00EC6103">
      <w:pPr>
        <w:jc w:val="center"/>
        <w:rPr>
          <w:rFonts w:ascii="Britannic Bold" w:hAnsi="Britannic Bold"/>
          <w:sz w:val="48"/>
          <w:szCs w:val="48"/>
        </w:rPr>
      </w:pPr>
      <w:r>
        <w:rPr>
          <w:rFonts w:ascii="Arial Black" w:hAnsi="Arial Black"/>
          <w:sz w:val="32"/>
          <w:szCs w:val="32"/>
        </w:rPr>
        <w:t>FINAL</w:t>
      </w:r>
      <w:r w:rsidR="00F444CE">
        <w:rPr>
          <w:rFonts w:ascii="Arial Black" w:hAnsi="Arial Black"/>
          <w:sz w:val="32"/>
          <w:szCs w:val="32"/>
        </w:rPr>
        <w:t xml:space="preserve"> </w:t>
      </w:r>
      <w:r w:rsidR="00EC6103">
        <w:rPr>
          <w:rFonts w:ascii="Arial Black" w:hAnsi="Arial Black"/>
          <w:sz w:val="32"/>
          <w:szCs w:val="32"/>
        </w:rPr>
        <w:t xml:space="preserve">ANNUAL </w:t>
      </w:r>
      <w:r w:rsidR="0019235A">
        <w:rPr>
          <w:rFonts w:ascii="Arial Black" w:hAnsi="Arial Black"/>
          <w:sz w:val="32"/>
          <w:szCs w:val="32"/>
        </w:rPr>
        <w:t xml:space="preserve">BUDGET </w:t>
      </w:r>
      <w:r w:rsidR="00EC6103">
        <w:rPr>
          <w:rFonts w:ascii="Arial Black" w:hAnsi="Arial Black"/>
          <w:sz w:val="32"/>
          <w:szCs w:val="32"/>
        </w:rPr>
        <w:t>OF</w:t>
      </w:r>
      <w:r w:rsidR="00EC6103">
        <w:rPr>
          <w:rFonts w:ascii="Arial Black" w:hAnsi="Arial Black"/>
          <w:sz w:val="32"/>
          <w:szCs w:val="32"/>
        </w:rPr>
        <w:br/>
      </w:r>
      <w:r w:rsidR="004347B6" w:rsidRPr="004347B6">
        <w:rPr>
          <w:rFonts w:ascii="Britannic Bold" w:hAnsi="Britannic Bold"/>
          <w:sz w:val="48"/>
          <w:szCs w:val="48"/>
        </w:rPr>
        <w:t>CHRIS HANI DISTRICT MUNICIPALITY</w:t>
      </w:r>
    </w:p>
    <w:p w:rsidR="00C53CF3" w:rsidRDefault="00C53CF3" w:rsidP="00EC6103">
      <w:pPr>
        <w:jc w:val="center"/>
        <w:rPr>
          <w:rFonts w:ascii="Arial Black" w:hAnsi="Arial Black"/>
          <w:sz w:val="32"/>
          <w:szCs w:val="32"/>
        </w:rPr>
      </w:pPr>
    </w:p>
    <w:p w:rsidR="00C53CF3" w:rsidRDefault="00C53CF3" w:rsidP="00EC6103">
      <w:pPr>
        <w:jc w:val="center"/>
        <w:rPr>
          <w:rFonts w:ascii="Arial Black" w:hAnsi="Arial Black"/>
          <w:sz w:val="32"/>
          <w:szCs w:val="32"/>
        </w:rPr>
      </w:pPr>
    </w:p>
    <w:p w:rsidR="00C53CF3" w:rsidRDefault="00C53CF3" w:rsidP="00EC6103">
      <w:pPr>
        <w:jc w:val="center"/>
        <w:rPr>
          <w:rFonts w:ascii="Arial Black" w:hAnsi="Arial Black"/>
          <w:sz w:val="32"/>
          <w:szCs w:val="32"/>
        </w:rPr>
      </w:pPr>
    </w:p>
    <w:p w:rsidR="00EC6103" w:rsidRPr="00427C70" w:rsidRDefault="00EC6103" w:rsidP="00EC6103">
      <w:pPr>
        <w:jc w:val="center"/>
        <w:rPr>
          <w:rFonts w:ascii="Arial Black" w:hAnsi="Arial Black"/>
          <w:sz w:val="40"/>
          <w:szCs w:val="40"/>
        </w:rPr>
      </w:pPr>
      <w:r w:rsidRPr="00427C70">
        <w:rPr>
          <w:rFonts w:ascii="Arial Black" w:hAnsi="Arial Black"/>
          <w:sz w:val="40"/>
          <w:szCs w:val="40"/>
        </w:rPr>
        <w:t>20</w:t>
      </w:r>
      <w:r w:rsidR="00A77FE3">
        <w:rPr>
          <w:rFonts w:ascii="Arial Black" w:hAnsi="Arial Black"/>
          <w:sz w:val="40"/>
          <w:szCs w:val="40"/>
        </w:rPr>
        <w:t>20</w:t>
      </w:r>
      <w:r w:rsidRPr="00427C70">
        <w:rPr>
          <w:rFonts w:ascii="Arial Black" w:hAnsi="Arial Black"/>
          <w:sz w:val="40"/>
          <w:szCs w:val="40"/>
        </w:rPr>
        <w:t>/</w:t>
      </w:r>
      <w:r w:rsidR="00F33312">
        <w:rPr>
          <w:rFonts w:ascii="Arial Black" w:hAnsi="Arial Black"/>
          <w:sz w:val="40"/>
          <w:szCs w:val="40"/>
        </w:rPr>
        <w:t>2</w:t>
      </w:r>
      <w:r w:rsidR="00A77FE3">
        <w:rPr>
          <w:rFonts w:ascii="Arial Black" w:hAnsi="Arial Black"/>
          <w:sz w:val="40"/>
          <w:szCs w:val="40"/>
        </w:rPr>
        <w:t>1</w:t>
      </w:r>
      <w:r w:rsidRPr="00427C70">
        <w:rPr>
          <w:rFonts w:ascii="Arial Black" w:hAnsi="Arial Black"/>
          <w:sz w:val="40"/>
          <w:szCs w:val="40"/>
        </w:rPr>
        <w:t xml:space="preserve"> </w:t>
      </w:r>
      <w:r w:rsidR="008D6BA7" w:rsidRPr="00427C70">
        <w:rPr>
          <w:rFonts w:ascii="Arial Black" w:hAnsi="Arial Black"/>
          <w:sz w:val="40"/>
          <w:szCs w:val="40"/>
        </w:rPr>
        <w:t>TO 20</w:t>
      </w:r>
      <w:r w:rsidR="00783A9B">
        <w:rPr>
          <w:rFonts w:ascii="Arial Black" w:hAnsi="Arial Black"/>
          <w:sz w:val="40"/>
          <w:szCs w:val="40"/>
        </w:rPr>
        <w:t>2</w:t>
      </w:r>
      <w:r w:rsidR="00A77FE3">
        <w:rPr>
          <w:rFonts w:ascii="Arial Black" w:hAnsi="Arial Black"/>
          <w:sz w:val="40"/>
          <w:szCs w:val="40"/>
        </w:rPr>
        <w:t>2</w:t>
      </w:r>
      <w:r w:rsidR="008D6BA7" w:rsidRPr="00427C70">
        <w:rPr>
          <w:rFonts w:ascii="Arial Black" w:hAnsi="Arial Black"/>
          <w:sz w:val="40"/>
          <w:szCs w:val="40"/>
        </w:rPr>
        <w:t>/</w:t>
      </w:r>
      <w:r w:rsidR="00E230E7">
        <w:rPr>
          <w:rFonts w:ascii="Arial Black" w:hAnsi="Arial Black"/>
          <w:sz w:val="40"/>
          <w:szCs w:val="40"/>
        </w:rPr>
        <w:t>2</w:t>
      </w:r>
      <w:r w:rsidR="00A77FE3">
        <w:rPr>
          <w:rFonts w:ascii="Arial Black" w:hAnsi="Arial Black"/>
          <w:sz w:val="40"/>
          <w:szCs w:val="40"/>
        </w:rPr>
        <w:t>3</w:t>
      </w:r>
      <w:r w:rsidR="008D6BA7" w:rsidRPr="00427C70">
        <w:rPr>
          <w:rFonts w:ascii="Arial Black" w:hAnsi="Arial Black"/>
          <w:sz w:val="40"/>
          <w:szCs w:val="40"/>
        </w:rPr>
        <w:br/>
      </w:r>
      <w:r w:rsidRPr="00427C70">
        <w:rPr>
          <w:rFonts w:ascii="Arial Black" w:hAnsi="Arial Black"/>
          <w:sz w:val="40"/>
          <w:szCs w:val="40"/>
        </w:rPr>
        <w:t>MEDIUM TERM R</w:t>
      </w:r>
      <w:r w:rsidR="00F71820">
        <w:rPr>
          <w:rFonts w:ascii="Arial Black" w:hAnsi="Arial Black"/>
          <w:sz w:val="40"/>
          <w:szCs w:val="40"/>
        </w:rPr>
        <w:t>EVENUE AND EXPENDITURE FRAMEWORK</w:t>
      </w:r>
    </w:p>
    <w:p w:rsidR="00C53CF3" w:rsidRDefault="00C53CF3" w:rsidP="00EC6103">
      <w:pPr>
        <w:jc w:val="center"/>
        <w:rPr>
          <w:rFonts w:ascii="Arial Black" w:hAnsi="Arial Black"/>
          <w:sz w:val="32"/>
          <w:szCs w:val="32"/>
        </w:rPr>
      </w:pPr>
    </w:p>
    <w:p w:rsidR="00C53CF3" w:rsidRDefault="00C53CF3" w:rsidP="00EC6103">
      <w:pPr>
        <w:jc w:val="center"/>
        <w:rPr>
          <w:rFonts w:ascii="Arial Black" w:hAnsi="Arial Black"/>
          <w:sz w:val="32"/>
          <w:szCs w:val="32"/>
        </w:rPr>
      </w:pPr>
    </w:p>
    <w:p w:rsidR="00EC6103" w:rsidRPr="00120A4C" w:rsidRDefault="00EC6103" w:rsidP="00E47C00">
      <w:pPr>
        <w:pStyle w:val="ListParagraph"/>
        <w:rPr>
          <w:rFonts w:ascii="Arial" w:eastAsiaTheme="majorEastAsia" w:hAnsi="Arial" w:cs="Arial"/>
          <w:b/>
          <w:bCs/>
        </w:rPr>
      </w:pPr>
    </w:p>
    <w:p w:rsidR="00281E23" w:rsidRDefault="00281E23">
      <w:pPr>
        <w:sectPr w:rsidR="00281E23" w:rsidSect="00476586">
          <w:headerReference w:type="first" r:id="rId14"/>
          <w:footerReference w:type="first" r:id="rId15"/>
          <w:pgSz w:w="12240" w:h="15840"/>
          <w:pgMar w:top="1440" w:right="1440" w:bottom="1440" w:left="1440" w:header="708" w:footer="708" w:gutter="0"/>
          <w:cols w:space="708"/>
          <w:titlePg/>
          <w:docGrid w:linePitch="360"/>
        </w:sectPr>
      </w:pPr>
    </w:p>
    <w:p w:rsidR="008D6BA7" w:rsidRDefault="008D6BA7" w:rsidP="00EC6103">
      <w:pPr>
        <w:rPr>
          <w:rFonts w:ascii="Arial" w:hAnsi="Arial" w:cs="Arial"/>
          <w:b/>
          <w:sz w:val="26"/>
          <w:szCs w:val="26"/>
        </w:rPr>
      </w:pPr>
    </w:p>
    <w:p w:rsidR="00E80CFF" w:rsidRDefault="00E80CFF" w:rsidP="00EC6103">
      <w:pPr>
        <w:rPr>
          <w:rFonts w:ascii="Arial" w:hAnsi="Arial" w:cs="Arial"/>
          <w:b/>
          <w:sz w:val="26"/>
          <w:szCs w:val="26"/>
        </w:rPr>
      </w:pPr>
    </w:p>
    <w:p w:rsidR="00E80CFF" w:rsidRDefault="00E80CFF" w:rsidP="00EC6103">
      <w:pPr>
        <w:rPr>
          <w:rFonts w:ascii="Arial" w:hAnsi="Arial" w:cs="Arial"/>
          <w:b/>
          <w:sz w:val="26"/>
          <w:szCs w:val="26"/>
        </w:rPr>
      </w:pPr>
    </w:p>
    <w:p w:rsidR="00E80CFF" w:rsidRDefault="00E80CFF" w:rsidP="00EC6103">
      <w:pPr>
        <w:rPr>
          <w:rFonts w:ascii="Arial" w:hAnsi="Arial" w:cs="Arial"/>
          <w:b/>
          <w:sz w:val="26"/>
          <w:szCs w:val="26"/>
        </w:rPr>
      </w:pPr>
    </w:p>
    <w:p w:rsidR="00E80CFF" w:rsidRDefault="00E80CFF" w:rsidP="00EC6103">
      <w:pPr>
        <w:rPr>
          <w:rFonts w:ascii="Arial" w:hAnsi="Arial" w:cs="Arial"/>
          <w:b/>
          <w:sz w:val="26"/>
          <w:szCs w:val="26"/>
        </w:rPr>
      </w:pPr>
    </w:p>
    <w:p w:rsidR="00E80CFF" w:rsidRDefault="00E80CFF" w:rsidP="00EC6103">
      <w:pPr>
        <w:rPr>
          <w:rFonts w:ascii="Arial" w:hAnsi="Arial" w:cs="Arial"/>
          <w:b/>
          <w:sz w:val="26"/>
          <w:szCs w:val="26"/>
        </w:rPr>
      </w:pPr>
    </w:p>
    <w:p w:rsidR="00E80CFF" w:rsidRDefault="00E80CFF" w:rsidP="00EC6103">
      <w:pPr>
        <w:rPr>
          <w:rFonts w:ascii="Arial" w:hAnsi="Arial" w:cs="Arial"/>
          <w:b/>
          <w:sz w:val="26"/>
          <w:szCs w:val="26"/>
        </w:rPr>
      </w:pPr>
    </w:p>
    <w:p w:rsidR="00E80CFF" w:rsidRDefault="00E80CFF" w:rsidP="00EC6103">
      <w:pPr>
        <w:rPr>
          <w:rFonts w:ascii="Arial" w:hAnsi="Arial" w:cs="Arial"/>
          <w:b/>
          <w:sz w:val="26"/>
          <w:szCs w:val="26"/>
        </w:rPr>
      </w:pPr>
    </w:p>
    <w:p w:rsidR="00E80CFF" w:rsidRPr="00EC6103" w:rsidRDefault="00E80CFF" w:rsidP="00EC6103">
      <w:pPr>
        <w:rPr>
          <w:rFonts w:ascii="Arial" w:hAnsi="Arial" w:cs="Arial"/>
          <w:b/>
          <w:sz w:val="26"/>
          <w:szCs w:val="26"/>
        </w:rPr>
      </w:pPr>
    </w:p>
    <w:bookmarkStart w:id="6" w:name="_Toc286034089" w:displacedByCustomXml="next"/>
    <w:sdt>
      <w:sdtPr>
        <w:rPr>
          <w:rFonts w:asciiTheme="minorHAnsi" w:eastAsiaTheme="minorEastAsia" w:hAnsiTheme="minorHAnsi" w:cstheme="minorBidi"/>
          <w:b w:val="0"/>
          <w:bCs w:val="0"/>
          <w:color w:val="auto"/>
          <w:sz w:val="22"/>
          <w:szCs w:val="22"/>
        </w:rPr>
        <w:id w:val="-1014380258"/>
        <w:docPartObj>
          <w:docPartGallery w:val="Table of Contents"/>
          <w:docPartUnique/>
        </w:docPartObj>
      </w:sdtPr>
      <w:sdtEndPr>
        <w:rPr>
          <w:noProof/>
        </w:rPr>
      </w:sdtEndPr>
      <w:sdtContent>
        <w:p w:rsidR="00F11C99" w:rsidRPr="00F11C99" w:rsidRDefault="00F11C99">
          <w:pPr>
            <w:pStyle w:val="TOCHeading"/>
            <w:rPr>
              <w:color w:val="auto"/>
            </w:rPr>
          </w:pPr>
          <w:r w:rsidRPr="00F11C99">
            <w:rPr>
              <w:color w:val="auto"/>
            </w:rPr>
            <w:t>Table of Contents</w:t>
          </w:r>
        </w:p>
        <w:p w:rsidR="00504B35" w:rsidRDefault="00F11C99">
          <w:pPr>
            <w:pStyle w:val="TOC2"/>
            <w:tabs>
              <w:tab w:val="left" w:pos="880"/>
              <w:tab w:val="right" w:leader="dot" w:pos="9350"/>
            </w:tabs>
            <w:rPr>
              <w:smallCaps w:val="0"/>
              <w:noProof/>
              <w:sz w:val="22"/>
              <w:szCs w:val="22"/>
            </w:rPr>
          </w:pPr>
          <w:r>
            <w:fldChar w:fldCharType="begin"/>
          </w:r>
          <w:r>
            <w:instrText xml:space="preserve"> TOC \o "1-3" \h \z \u </w:instrText>
          </w:r>
          <w:r>
            <w:fldChar w:fldCharType="separate"/>
          </w:r>
          <w:hyperlink w:anchor="_Toc415060202" w:history="1">
            <w:r w:rsidR="00504B35" w:rsidRPr="00F34363">
              <w:rPr>
                <w:rStyle w:val="Hyperlink"/>
                <w:rFonts w:ascii="Arial" w:hAnsi="Arial" w:cs="Arial"/>
                <w:noProof/>
              </w:rPr>
              <w:t>1.1</w:t>
            </w:r>
            <w:r w:rsidR="00504B35">
              <w:rPr>
                <w:smallCaps w:val="0"/>
                <w:noProof/>
                <w:sz w:val="22"/>
                <w:szCs w:val="22"/>
              </w:rPr>
              <w:tab/>
            </w:r>
            <w:r w:rsidR="00504B35" w:rsidRPr="00F34363">
              <w:rPr>
                <w:rStyle w:val="Hyperlink"/>
                <w:rFonts w:ascii="Arial" w:hAnsi="Arial" w:cs="Arial"/>
                <w:noProof/>
              </w:rPr>
              <w:t>Executive Summary</w:t>
            </w:r>
            <w:r w:rsidR="00504B35">
              <w:rPr>
                <w:noProof/>
                <w:webHidden/>
              </w:rPr>
              <w:tab/>
            </w:r>
            <w:r w:rsidR="00504B35">
              <w:rPr>
                <w:noProof/>
                <w:webHidden/>
              </w:rPr>
              <w:fldChar w:fldCharType="begin"/>
            </w:r>
            <w:r w:rsidR="00504B35">
              <w:rPr>
                <w:noProof/>
                <w:webHidden/>
              </w:rPr>
              <w:instrText xml:space="preserve"> PAGEREF _Toc415060202 \h </w:instrText>
            </w:r>
            <w:r w:rsidR="00504B35">
              <w:rPr>
                <w:noProof/>
                <w:webHidden/>
              </w:rPr>
            </w:r>
            <w:r w:rsidR="00504B35">
              <w:rPr>
                <w:noProof/>
                <w:webHidden/>
              </w:rPr>
              <w:fldChar w:fldCharType="separate"/>
            </w:r>
            <w:r w:rsidR="00CF33C7">
              <w:rPr>
                <w:noProof/>
                <w:webHidden/>
              </w:rPr>
              <w:t>3</w:t>
            </w:r>
            <w:r w:rsidR="00504B35">
              <w:rPr>
                <w:noProof/>
                <w:webHidden/>
              </w:rPr>
              <w:fldChar w:fldCharType="end"/>
            </w:r>
          </w:hyperlink>
        </w:p>
        <w:p w:rsidR="00504B35" w:rsidRDefault="00C920F1" w:rsidP="00287A64">
          <w:pPr>
            <w:pStyle w:val="TOC3"/>
            <w:rPr>
              <w:noProof/>
              <w:sz w:val="22"/>
              <w:szCs w:val="22"/>
            </w:rPr>
          </w:pPr>
          <w:hyperlink w:anchor="_Toc415060203" w:history="1">
            <w:r w:rsidR="00504B35" w:rsidRPr="00F34363">
              <w:rPr>
                <w:rStyle w:val="Hyperlink"/>
                <w:noProof/>
              </w:rPr>
              <w:t xml:space="preserve">Table 1  Consolidated Overview of the </w:t>
            </w:r>
            <w:r w:rsidR="006706E5">
              <w:rPr>
                <w:rStyle w:val="Hyperlink"/>
                <w:noProof/>
              </w:rPr>
              <w:t>20</w:t>
            </w:r>
            <w:r w:rsidR="008D6147">
              <w:rPr>
                <w:rStyle w:val="Hyperlink"/>
                <w:noProof/>
              </w:rPr>
              <w:t>20</w:t>
            </w:r>
            <w:r w:rsidR="00597729">
              <w:rPr>
                <w:rStyle w:val="Hyperlink"/>
                <w:noProof/>
              </w:rPr>
              <w:t>/2</w:t>
            </w:r>
            <w:r w:rsidR="008D6147">
              <w:rPr>
                <w:rStyle w:val="Hyperlink"/>
                <w:noProof/>
              </w:rPr>
              <w:t>1</w:t>
            </w:r>
            <w:r w:rsidR="00504B35" w:rsidRPr="00F34363">
              <w:rPr>
                <w:rStyle w:val="Hyperlink"/>
                <w:noProof/>
              </w:rPr>
              <w:t xml:space="preserve"> MTREF</w:t>
            </w:r>
            <w:r w:rsidR="00504B35">
              <w:rPr>
                <w:noProof/>
                <w:webHidden/>
              </w:rPr>
              <w:tab/>
            </w:r>
            <w:r w:rsidR="00504B35">
              <w:rPr>
                <w:noProof/>
                <w:webHidden/>
              </w:rPr>
              <w:fldChar w:fldCharType="begin"/>
            </w:r>
            <w:r w:rsidR="00504B35">
              <w:rPr>
                <w:noProof/>
                <w:webHidden/>
              </w:rPr>
              <w:instrText xml:space="preserve"> PAGEREF _Toc415060203 \h </w:instrText>
            </w:r>
            <w:r w:rsidR="00504B35">
              <w:rPr>
                <w:noProof/>
                <w:webHidden/>
              </w:rPr>
            </w:r>
            <w:r w:rsidR="00504B35">
              <w:rPr>
                <w:noProof/>
                <w:webHidden/>
              </w:rPr>
              <w:fldChar w:fldCharType="separate"/>
            </w:r>
            <w:r w:rsidR="00CF33C7">
              <w:rPr>
                <w:noProof/>
                <w:webHidden/>
              </w:rPr>
              <w:t>3</w:t>
            </w:r>
            <w:r w:rsidR="00504B35">
              <w:rPr>
                <w:noProof/>
                <w:webHidden/>
              </w:rPr>
              <w:fldChar w:fldCharType="end"/>
            </w:r>
          </w:hyperlink>
        </w:p>
        <w:p w:rsidR="00504B35" w:rsidRDefault="00C920F1">
          <w:pPr>
            <w:pStyle w:val="TOC2"/>
            <w:tabs>
              <w:tab w:val="left" w:pos="880"/>
              <w:tab w:val="right" w:leader="dot" w:pos="9350"/>
            </w:tabs>
            <w:rPr>
              <w:smallCaps w:val="0"/>
              <w:noProof/>
              <w:sz w:val="22"/>
              <w:szCs w:val="22"/>
            </w:rPr>
          </w:pPr>
          <w:hyperlink w:anchor="_Toc415060204" w:history="1">
            <w:r w:rsidR="00504B35" w:rsidRPr="00F34363">
              <w:rPr>
                <w:rStyle w:val="Hyperlink"/>
                <w:rFonts w:ascii="Arial" w:hAnsi="Arial" w:cs="Arial"/>
                <w:noProof/>
              </w:rPr>
              <w:t>1.2</w:t>
            </w:r>
            <w:r w:rsidR="00504B35">
              <w:rPr>
                <w:smallCaps w:val="0"/>
                <w:noProof/>
                <w:sz w:val="22"/>
                <w:szCs w:val="22"/>
              </w:rPr>
              <w:tab/>
            </w:r>
            <w:r w:rsidR="00504B35" w:rsidRPr="00F34363">
              <w:rPr>
                <w:rStyle w:val="Hyperlink"/>
                <w:rFonts w:ascii="Arial" w:hAnsi="Arial" w:cs="Arial"/>
                <w:noProof/>
              </w:rPr>
              <w:t>Operating Revenue Framework</w:t>
            </w:r>
            <w:r w:rsidR="00504B35">
              <w:rPr>
                <w:noProof/>
                <w:webHidden/>
              </w:rPr>
              <w:tab/>
            </w:r>
            <w:r w:rsidR="00504B35">
              <w:rPr>
                <w:noProof/>
                <w:webHidden/>
              </w:rPr>
              <w:fldChar w:fldCharType="begin"/>
            </w:r>
            <w:r w:rsidR="00504B35">
              <w:rPr>
                <w:noProof/>
                <w:webHidden/>
              </w:rPr>
              <w:instrText xml:space="preserve"> PAGEREF _Toc415060204 \h </w:instrText>
            </w:r>
            <w:r w:rsidR="00504B35">
              <w:rPr>
                <w:noProof/>
                <w:webHidden/>
              </w:rPr>
            </w:r>
            <w:r w:rsidR="00504B35">
              <w:rPr>
                <w:noProof/>
                <w:webHidden/>
              </w:rPr>
              <w:fldChar w:fldCharType="separate"/>
            </w:r>
            <w:r w:rsidR="00CF33C7">
              <w:rPr>
                <w:noProof/>
                <w:webHidden/>
              </w:rPr>
              <w:t>4</w:t>
            </w:r>
            <w:r w:rsidR="00504B35">
              <w:rPr>
                <w:noProof/>
                <w:webHidden/>
              </w:rPr>
              <w:fldChar w:fldCharType="end"/>
            </w:r>
          </w:hyperlink>
        </w:p>
        <w:p w:rsidR="00287A64" w:rsidRPr="00287A64" w:rsidRDefault="00287A64" w:rsidP="00287A64">
          <w:pPr>
            <w:pStyle w:val="TOC3"/>
          </w:pPr>
          <w:r w:rsidRPr="00287A64">
            <w:t xml:space="preserve">Table </w:t>
          </w:r>
          <w:r w:rsidR="001B0C5F">
            <w:rPr>
              <w:noProof/>
            </w:rPr>
            <w:fldChar w:fldCharType="begin"/>
          </w:r>
          <w:r w:rsidR="001B0C5F">
            <w:rPr>
              <w:noProof/>
            </w:rPr>
            <w:instrText xml:space="preserve"> SEQ Table \* ARABIC </w:instrText>
          </w:r>
          <w:r w:rsidR="001B0C5F">
            <w:rPr>
              <w:noProof/>
            </w:rPr>
            <w:fldChar w:fldCharType="separate"/>
          </w:r>
          <w:r w:rsidR="00CF33C7">
            <w:rPr>
              <w:noProof/>
            </w:rPr>
            <w:t>1</w:t>
          </w:r>
          <w:r w:rsidR="001B0C5F">
            <w:rPr>
              <w:noProof/>
            </w:rPr>
            <w:fldChar w:fldCharType="end"/>
          </w:r>
          <w:r w:rsidRPr="00287A64">
            <w:t xml:space="preserve">  Summary of revenue classified by main revenue source</w:t>
          </w:r>
        </w:p>
        <w:p w:rsidR="00504B35" w:rsidRDefault="00C920F1" w:rsidP="00287A64">
          <w:pPr>
            <w:pStyle w:val="TOC3"/>
            <w:rPr>
              <w:noProof/>
              <w:sz w:val="22"/>
              <w:szCs w:val="22"/>
            </w:rPr>
          </w:pPr>
          <w:hyperlink w:anchor="_Toc415060205" w:history="1">
            <w:r w:rsidR="00504B35" w:rsidRPr="00F34363">
              <w:rPr>
                <w:rStyle w:val="Hyperlink"/>
                <w:noProof/>
              </w:rPr>
              <w:t xml:space="preserve">Table </w:t>
            </w:r>
            <w:r w:rsidR="00287A64">
              <w:rPr>
                <w:rStyle w:val="Hyperlink"/>
                <w:noProof/>
              </w:rPr>
              <w:t>3</w:t>
            </w:r>
            <w:r w:rsidR="00504B35" w:rsidRPr="00F34363">
              <w:rPr>
                <w:rStyle w:val="Hyperlink"/>
                <w:noProof/>
              </w:rPr>
              <w:t xml:space="preserve">  Percentage growth in revenue by main revenue source</w:t>
            </w:r>
            <w:r w:rsidR="00504B35">
              <w:rPr>
                <w:noProof/>
                <w:webHidden/>
              </w:rPr>
              <w:tab/>
            </w:r>
            <w:r w:rsidR="00504B35">
              <w:rPr>
                <w:noProof/>
                <w:webHidden/>
              </w:rPr>
              <w:fldChar w:fldCharType="begin"/>
            </w:r>
            <w:r w:rsidR="00504B35">
              <w:rPr>
                <w:noProof/>
                <w:webHidden/>
              </w:rPr>
              <w:instrText xml:space="preserve"> PAGEREF _Toc415060205 \h </w:instrText>
            </w:r>
            <w:r w:rsidR="00504B35">
              <w:rPr>
                <w:noProof/>
                <w:webHidden/>
              </w:rPr>
            </w:r>
            <w:r w:rsidR="00504B35">
              <w:rPr>
                <w:noProof/>
                <w:webHidden/>
              </w:rPr>
              <w:fldChar w:fldCharType="separate"/>
            </w:r>
            <w:r w:rsidR="00CF33C7">
              <w:rPr>
                <w:noProof/>
                <w:webHidden/>
              </w:rPr>
              <w:t>6</w:t>
            </w:r>
            <w:r w:rsidR="00504B35">
              <w:rPr>
                <w:noProof/>
                <w:webHidden/>
              </w:rPr>
              <w:fldChar w:fldCharType="end"/>
            </w:r>
          </w:hyperlink>
        </w:p>
        <w:p w:rsidR="00504B35" w:rsidRDefault="00C920F1" w:rsidP="00287A64">
          <w:pPr>
            <w:pStyle w:val="TOC3"/>
            <w:rPr>
              <w:noProof/>
              <w:sz w:val="22"/>
              <w:szCs w:val="22"/>
            </w:rPr>
          </w:pPr>
          <w:hyperlink w:anchor="_Toc415060206" w:history="1">
            <w:r w:rsidR="00504B35" w:rsidRPr="00F34363">
              <w:rPr>
                <w:rStyle w:val="Hyperlink"/>
                <w:noProof/>
              </w:rPr>
              <w:t>Table 4  Operating Transfers and Grant Receipts</w:t>
            </w:r>
            <w:r w:rsidR="00504B35">
              <w:rPr>
                <w:noProof/>
                <w:webHidden/>
              </w:rPr>
              <w:tab/>
            </w:r>
            <w:r w:rsidR="00504B35">
              <w:rPr>
                <w:noProof/>
                <w:webHidden/>
              </w:rPr>
              <w:fldChar w:fldCharType="begin"/>
            </w:r>
            <w:r w:rsidR="00504B35">
              <w:rPr>
                <w:noProof/>
                <w:webHidden/>
              </w:rPr>
              <w:instrText xml:space="preserve"> PAGEREF _Toc415060206 \h </w:instrText>
            </w:r>
            <w:r w:rsidR="00504B35">
              <w:rPr>
                <w:noProof/>
                <w:webHidden/>
              </w:rPr>
            </w:r>
            <w:r w:rsidR="00504B35">
              <w:rPr>
                <w:noProof/>
                <w:webHidden/>
              </w:rPr>
              <w:fldChar w:fldCharType="separate"/>
            </w:r>
            <w:r w:rsidR="00CF33C7">
              <w:rPr>
                <w:noProof/>
                <w:webHidden/>
              </w:rPr>
              <w:t>9</w:t>
            </w:r>
            <w:r w:rsidR="00504B35">
              <w:rPr>
                <w:noProof/>
                <w:webHidden/>
              </w:rPr>
              <w:fldChar w:fldCharType="end"/>
            </w:r>
          </w:hyperlink>
        </w:p>
        <w:p w:rsidR="00504B35" w:rsidRDefault="00C920F1" w:rsidP="00287A64">
          <w:pPr>
            <w:pStyle w:val="TOC3"/>
            <w:rPr>
              <w:noProof/>
              <w:sz w:val="22"/>
              <w:szCs w:val="22"/>
            </w:rPr>
          </w:pPr>
          <w:hyperlink w:anchor="_Toc415060207" w:history="1">
            <w:r w:rsidR="00504B35" w:rsidRPr="00F34363">
              <w:rPr>
                <w:rStyle w:val="Hyperlink"/>
                <w:noProof/>
              </w:rPr>
              <w:t>1.2.1</w:t>
            </w:r>
            <w:r w:rsidR="00504B35">
              <w:rPr>
                <w:noProof/>
                <w:sz w:val="22"/>
                <w:szCs w:val="22"/>
              </w:rPr>
              <w:tab/>
            </w:r>
            <w:r w:rsidR="00504B35" w:rsidRPr="00F34363">
              <w:rPr>
                <w:rStyle w:val="Hyperlink"/>
                <w:noProof/>
              </w:rPr>
              <w:t>Sale of Water and Impact of Tariff Increases</w:t>
            </w:r>
            <w:r w:rsidR="00504B35">
              <w:rPr>
                <w:noProof/>
                <w:webHidden/>
              </w:rPr>
              <w:tab/>
            </w:r>
            <w:r w:rsidR="00504B35">
              <w:rPr>
                <w:noProof/>
                <w:webHidden/>
              </w:rPr>
              <w:fldChar w:fldCharType="begin"/>
            </w:r>
            <w:r w:rsidR="00504B35">
              <w:rPr>
                <w:noProof/>
                <w:webHidden/>
              </w:rPr>
              <w:instrText xml:space="preserve"> PAGEREF _Toc415060207 \h </w:instrText>
            </w:r>
            <w:r w:rsidR="00504B35">
              <w:rPr>
                <w:noProof/>
                <w:webHidden/>
              </w:rPr>
            </w:r>
            <w:r w:rsidR="00504B35">
              <w:rPr>
                <w:noProof/>
                <w:webHidden/>
              </w:rPr>
              <w:fldChar w:fldCharType="separate"/>
            </w:r>
            <w:r w:rsidR="00CF33C7">
              <w:rPr>
                <w:noProof/>
                <w:webHidden/>
              </w:rPr>
              <w:t>10</w:t>
            </w:r>
            <w:r w:rsidR="00504B35">
              <w:rPr>
                <w:noProof/>
                <w:webHidden/>
              </w:rPr>
              <w:fldChar w:fldCharType="end"/>
            </w:r>
          </w:hyperlink>
        </w:p>
        <w:p w:rsidR="00504B35" w:rsidRDefault="00C920F1">
          <w:pPr>
            <w:pStyle w:val="TOC2"/>
            <w:tabs>
              <w:tab w:val="left" w:pos="880"/>
              <w:tab w:val="right" w:leader="dot" w:pos="9350"/>
            </w:tabs>
            <w:rPr>
              <w:smallCaps w:val="0"/>
              <w:noProof/>
              <w:sz w:val="22"/>
              <w:szCs w:val="22"/>
            </w:rPr>
          </w:pPr>
          <w:hyperlink w:anchor="_Toc415060208" w:history="1">
            <w:r w:rsidR="00504B35" w:rsidRPr="00F34363">
              <w:rPr>
                <w:rStyle w:val="Hyperlink"/>
                <w:rFonts w:ascii="Arial" w:hAnsi="Arial" w:cs="Arial"/>
                <w:noProof/>
              </w:rPr>
              <w:t>1.3</w:t>
            </w:r>
            <w:r w:rsidR="00504B35">
              <w:rPr>
                <w:smallCaps w:val="0"/>
                <w:noProof/>
                <w:sz w:val="22"/>
                <w:szCs w:val="22"/>
              </w:rPr>
              <w:tab/>
            </w:r>
            <w:r w:rsidR="00504B35" w:rsidRPr="00F34363">
              <w:rPr>
                <w:rStyle w:val="Hyperlink"/>
                <w:rFonts w:ascii="Arial" w:hAnsi="Arial" w:cs="Arial"/>
                <w:noProof/>
              </w:rPr>
              <w:t>Operating Expenditure Framework</w:t>
            </w:r>
            <w:r w:rsidR="00504B35">
              <w:rPr>
                <w:noProof/>
                <w:webHidden/>
              </w:rPr>
              <w:tab/>
            </w:r>
            <w:r w:rsidR="00504B35">
              <w:rPr>
                <w:noProof/>
                <w:webHidden/>
              </w:rPr>
              <w:fldChar w:fldCharType="begin"/>
            </w:r>
            <w:r w:rsidR="00504B35">
              <w:rPr>
                <w:noProof/>
                <w:webHidden/>
              </w:rPr>
              <w:instrText xml:space="preserve"> PAGEREF _Toc415060208 \h </w:instrText>
            </w:r>
            <w:r w:rsidR="00504B35">
              <w:rPr>
                <w:noProof/>
                <w:webHidden/>
              </w:rPr>
            </w:r>
            <w:r w:rsidR="00504B35">
              <w:rPr>
                <w:noProof/>
                <w:webHidden/>
              </w:rPr>
              <w:fldChar w:fldCharType="separate"/>
            </w:r>
            <w:r w:rsidR="00CF33C7">
              <w:rPr>
                <w:noProof/>
                <w:webHidden/>
              </w:rPr>
              <w:t>11</w:t>
            </w:r>
            <w:r w:rsidR="00504B35">
              <w:rPr>
                <w:noProof/>
                <w:webHidden/>
              </w:rPr>
              <w:fldChar w:fldCharType="end"/>
            </w:r>
          </w:hyperlink>
        </w:p>
        <w:p w:rsidR="00504B35" w:rsidRDefault="00C920F1" w:rsidP="00287A64">
          <w:pPr>
            <w:pStyle w:val="TOC3"/>
            <w:rPr>
              <w:noProof/>
              <w:sz w:val="22"/>
              <w:szCs w:val="22"/>
            </w:rPr>
          </w:pPr>
          <w:hyperlink w:anchor="_Toc415060209" w:history="1">
            <w:r w:rsidR="00504B35" w:rsidRPr="00F34363">
              <w:rPr>
                <w:rStyle w:val="Hyperlink"/>
                <w:noProof/>
              </w:rPr>
              <w:t xml:space="preserve">Table </w:t>
            </w:r>
            <w:r w:rsidR="00287A64">
              <w:rPr>
                <w:rStyle w:val="Hyperlink"/>
                <w:noProof/>
              </w:rPr>
              <w:t>5</w:t>
            </w:r>
            <w:r w:rsidR="00504B35" w:rsidRPr="00F34363">
              <w:rPr>
                <w:rStyle w:val="Hyperlink"/>
                <w:noProof/>
              </w:rPr>
              <w:t xml:space="preserve"> Summary of operating expenditure by standard classification item</w:t>
            </w:r>
            <w:r w:rsidR="00504B35">
              <w:rPr>
                <w:noProof/>
                <w:webHidden/>
              </w:rPr>
              <w:tab/>
            </w:r>
            <w:r w:rsidR="00504B35">
              <w:rPr>
                <w:noProof/>
                <w:webHidden/>
              </w:rPr>
              <w:fldChar w:fldCharType="begin"/>
            </w:r>
            <w:r w:rsidR="00504B35">
              <w:rPr>
                <w:noProof/>
                <w:webHidden/>
              </w:rPr>
              <w:instrText xml:space="preserve"> PAGEREF _Toc415060209 \h </w:instrText>
            </w:r>
            <w:r w:rsidR="00504B35">
              <w:rPr>
                <w:noProof/>
                <w:webHidden/>
              </w:rPr>
            </w:r>
            <w:r w:rsidR="00504B35">
              <w:rPr>
                <w:noProof/>
                <w:webHidden/>
              </w:rPr>
              <w:fldChar w:fldCharType="separate"/>
            </w:r>
            <w:r w:rsidR="00CF33C7">
              <w:rPr>
                <w:noProof/>
                <w:webHidden/>
              </w:rPr>
              <w:t>12</w:t>
            </w:r>
            <w:r w:rsidR="00504B35">
              <w:rPr>
                <w:noProof/>
                <w:webHidden/>
              </w:rPr>
              <w:fldChar w:fldCharType="end"/>
            </w:r>
          </w:hyperlink>
        </w:p>
        <w:p w:rsidR="00504B35" w:rsidRDefault="00C920F1" w:rsidP="00287A64">
          <w:pPr>
            <w:pStyle w:val="TOC3"/>
            <w:rPr>
              <w:noProof/>
              <w:sz w:val="22"/>
              <w:szCs w:val="22"/>
            </w:rPr>
          </w:pPr>
          <w:hyperlink w:anchor="_Toc415060210" w:history="1">
            <w:r w:rsidR="00504B35" w:rsidRPr="00F34363">
              <w:rPr>
                <w:rStyle w:val="Hyperlink"/>
                <w:noProof/>
              </w:rPr>
              <w:t>Figure 1  Main operational expenditure categories for the 20</w:t>
            </w:r>
            <w:r w:rsidR="00597729">
              <w:rPr>
                <w:rStyle w:val="Hyperlink"/>
                <w:noProof/>
              </w:rPr>
              <w:t>20</w:t>
            </w:r>
            <w:r w:rsidR="00504B35" w:rsidRPr="00F34363">
              <w:rPr>
                <w:rStyle w:val="Hyperlink"/>
                <w:noProof/>
              </w:rPr>
              <w:t>/</w:t>
            </w:r>
            <w:r w:rsidR="00F33312">
              <w:rPr>
                <w:rStyle w:val="Hyperlink"/>
                <w:noProof/>
              </w:rPr>
              <w:t>2</w:t>
            </w:r>
            <w:r w:rsidR="00597729">
              <w:rPr>
                <w:rStyle w:val="Hyperlink"/>
                <w:noProof/>
              </w:rPr>
              <w:t>1</w:t>
            </w:r>
            <w:r w:rsidR="00504B35" w:rsidRPr="00F34363">
              <w:rPr>
                <w:rStyle w:val="Hyperlink"/>
                <w:noProof/>
              </w:rPr>
              <w:t xml:space="preserve"> financial year</w:t>
            </w:r>
            <w:r w:rsidR="00504B35">
              <w:rPr>
                <w:noProof/>
                <w:webHidden/>
              </w:rPr>
              <w:tab/>
            </w:r>
            <w:r w:rsidR="00504B35">
              <w:rPr>
                <w:noProof/>
                <w:webHidden/>
              </w:rPr>
              <w:fldChar w:fldCharType="begin"/>
            </w:r>
            <w:r w:rsidR="00504B35">
              <w:rPr>
                <w:noProof/>
                <w:webHidden/>
              </w:rPr>
              <w:instrText xml:space="preserve"> PAGEREF _Toc415060210 \h </w:instrText>
            </w:r>
            <w:r w:rsidR="00504B35">
              <w:rPr>
                <w:noProof/>
                <w:webHidden/>
              </w:rPr>
            </w:r>
            <w:r w:rsidR="00504B35">
              <w:rPr>
                <w:noProof/>
                <w:webHidden/>
              </w:rPr>
              <w:fldChar w:fldCharType="separate"/>
            </w:r>
            <w:r w:rsidR="00CF33C7">
              <w:rPr>
                <w:noProof/>
                <w:webHidden/>
              </w:rPr>
              <w:t>15</w:t>
            </w:r>
            <w:r w:rsidR="00504B35">
              <w:rPr>
                <w:noProof/>
                <w:webHidden/>
              </w:rPr>
              <w:fldChar w:fldCharType="end"/>
            </w:r>
          </w:hyperlink>
        </w:p>
        <w:p w:rsidR="00504B35" w:rsidRDefault="00C920F1" w:rsidP="00287A64">
          <w:pPr>
            <w:pStyle w:val="TOC3"/>
            <w:rPr>
              <w:noProof/>
              <w:sz w:val="22"/>
              <w:szCs w:val="22"/>
            </w:rPr>
          </w:pPr>
          <w:hyperlink w:anchor="_Toc415060211" w:history="1">
            <w:r w:rsidR="00504B35" w:rsidRPr="00F34363">
              <w:rPr>
                <w:rStyle w:val="Hyperlink"/>
                <w:noProof/>
              </w:rPr>
              <w:t>1.3.1</w:t>
            </w:r>
            <w:r w:rsidR="00504B35">
              <w:rPr>
                <w:noProof/>
                <w:sz w:val="22"/>
                <w:szCs w:val="22"/>
              </w:rPr>
              <w:tab/>
            </w:r>
            <w:r w:rsidR="00504B35" w:rsidRPr="00F34363">
              <w:rPr>
                <w:rStyle w:val="Hyperlink"/>
                <w:rFonts w:eastAsia="Times New Roman"/>
                <w:noProof/>
                <w:lang w:val="en-GB"/>
              </w:rPr>
              <w:t>Free Basic Services: Indigent Support</w:t>
            </w:r>
            <w:r w:rsidR="00504B35">
              <w:rPr>
                <w:noProof/>
                <w:webHidden/>
              </w:rPr>
              <w:tab/>
            </w:r>
            <w:r w:rsidR="00504B35">
              <w:rPr>
                <w:noProof/>
                <w:webHidden/>
              </w:rPr>
              <w:fldChar w:fldCharType="begin"/>
            </w:r>
            <w:r w:rsidR="00504B35">
              <w:rPr>
                <w:noProof/>
                <w:webHidden/>
              </w:rPr>
              <w:instrText xml:space="preserve"> PAGEREF _Toc415060211 \h </w:instrText>
            </w:r>
            <w:r w:rsidR="00504B35">
              <w:rPr>
                <w:noProof/>
                <w:webHidden/>
              </w:rPr>
            </w:r>
            <w:r w:rsidR="00504B35">
              <w:rPr>
                <w:noProof/>
                <w:webHidden/>
              </w:rPr>
              <w:fldChar w:fldCharType="separate"/>
            </w:r>
            <w:r w:rsidR="00CF33C7">
              <w:rPr>
                <w:noProof/>
                <w:webHidden/>
              </w:rPr>
              <w:t>15</w:t>
            </w:r>
            <w:r w:rsidR="00504B35">
              <w:rPr>
                <w:noProof/>
                <w:webHidden/>
              </w:rPr>
              <w:fldChar w:fldCharType="end"/>
            </w:r>
          </w:hyperlink>
        </w:p>
        <w:p w:rsidR="00504B35" w:rsidRDefault="00C920F1">
          <w:pPr>
            <w:pStyle w:val="TOC2"/>
            <w:tabs>
              <w:tab w:val="left" w:pos="880"/>
              <w:tab w:val="right" w:leader="dot" w:pos="9350"/>
            </w:tabs>
            <w:rPr>
              <w:smallCaps w:val="0"/>
              <w:noProof/>
              <w:sz w:val="22"/>
              <w:szCs w:val="22"/>
            </w:rPr>
          </w:pPr>
          <w:hyperlink w:anchor="_Toc415060212" w:history="1">
            <w:r w:rsidR="00504B35" w:rsidRPr="00F34363">
              <w:rPr>
                <w:rStyle w:val="Hyperlink"/>
                <w:rFonts w:ascii="Arial" w:hAnsi="Arial" w:cs="Arial"/>
                <w:noProof/>
              </w:rPr>
              <w:t>1.4</w:t>
            </w:r>
            <w:r w:rsidR="00504B35">
              <w:rPr>
                <w:smallCaps w:val="0"/>
                <w:noProof/>
                <w:sz w:val="22"/>
                <w:szCs w:val="22"/>
              </w:rPr>
              <w:tab/>
            </w:r>
            <w:r w:rsidR="00504B35" w:rsidRPr="00F34363">
              <w:rPr>
                <w:rStyle w:val="Hyperlink"/>
                <w:rFonts w:ascii="Arial" w:hAnsi="Arial" w:cs="Arial"/>
                <w:noProof/>
              </w:rPr>
              <w:t>Capital expenditure</w:t>
            </w:r>
            <w:r w:rsidR="00504B35">
              <w:rPr>
                <w:noProof/>
                <w:webHidden/>
              </w:rPr>
              <w:tab/>
            </w:r>
            <w:r w:rsidR="00504B35">
              <w:rPr>
                <w:noProof/>
                <w:webHidden/>
              </w:rPr>
              <w:fldChar w:fldCharType="begin"/>
            </w:r>
            <w:r w:rsidR="00504B35">
              <w:rPr>
                <w:noProof/>
                <w:webHidden/>
              </w:rPr>
              <w:instrText xml:space="preserve"> PAGEREF _Toc415060212 \h </w:instrText>
            </w:r>
            <w:r w:rsidR="00504B35">
              <w:rPr>
                <w:noProof/>
                <w:webHidden/>
              </w:rPr>
            </w:r>
            <w:r w:rsidR="00504B35">
              <w:rPr>
                <w:noProof/>
                <w:webHidden/>
              </w:rPr>
              <w:fldChar w:fldCharType="separate"/>
            </w:r>
            <w:r w:rsidR="00CF33C7">
              <w:rPr>
                <w:noProof/>
                <w:webHidden/>
              </w:rPr>
              <w:t>17</w:t>
            </w:r>
            <w:r w:rsidR="00504B35">
              <w:rPr>
                <w:noProof/>
                <w:webHidden/>
              </w:rPr>
              <w:fldChar w:fldCharType="end"/>
            </w:r>
          </w:hyperlink>
        </w:p>
        <w:p w:rsidR="00504B35" w:rsidRDefault="00C920F1" w:rsidP="00287A64">
          <w:pPr>
            <w:pStyle w:val="TOC3"/>
            <w:rPr>
              <w:noProof/>
              <w:sz w:val="22"/>
              <w:szCs w:val="22"/>
            </w:rPr>
          </w:pPr>
          <w:hyperlink w:anchor="_Toc415060213" w:history="1">
            <w:r w:rsidR="00504B35" w:rsidRPr="00F34363">
              <w:rPr>
                <w:rStyle w:val="Hyperlink"/>
                <w:noProof/>
              </w:rPr>
              <w:t xml:space="preserve">Table </w:t>
            </w:r>
            <w:r w:rsidR="00287A64">
              <w:rPr>
                <w:rStyle w:val="Hyperlink"/>
                <w:noProof/>
              </w:rPr>
              <w:t>6</w:t>
            </w:r>
            <w:r w:rsidR="00597729">
              <w:rPr>
                <w:rStyle w:val="Hyperlink"/>
                <w:noProof/>
              </w:rPr>
              <w:t xml:space="preserve"> 2020/</w:t>
            </w:r>
            <w:r w:rsidR="00F33312">
              <w:rPr>
                <w:rStyle w:val="Hyperlink"/>
                <w:noProof/>
              </w:rPr>
              <w:t>2</w:t>
            </w:r>
            <w:r w:rsidR="00597729">
              <w:rPr>
                <w:rStyle w:val="Hyperlink"/>
                <w:noProof/>
              </w:rPr>
              <w:t>1</w:t>
            </w:r>
            <w:r w:rsidR="00504B35" w:rsidRPr="00F34363">
              <w:rPr>
                <w:rStyle w:val="Hyperlink"/>
                <w:noProof/>
              </w:rPr>
              <w:t xml:space="preserve"> Medium-term capital budget per vote</w:t>
            </w:r>
            <w:r w:rsidR="00504B35">
              <w:rPr>
                <w:noProof/>
                <w:webHidden/>
              </w:rPr>
              <w:tab/>
            </w:r>
            <w:r w:rsidR="00504B35">
              <w:rPr>
                <w:noProof/>
                <w:webHidden/>
              </w:rPr>
              <w:fldChar w:fldCharType="begin"/>
            </w:r>
            <w:r w:rsidR="00504B35">
              <w:rPr>
                <w:noProof/>
                <w:webHidden/>
              </w:rPr>
              <w:instrText xml:space="preserve"> PAGEREF _Toc415060213 \h </w:instrText>
            </w:r>
            <w:r w:rsidR="00504B35">
              <w:rPr>
                <w:noProof/>
                <w:webHidden/>
              </w:rPr>
            </w:r>
            <w:r w:rsidR="00504B35">
              <w:rPr>
                <w:noProof/>
                <w:webHidden/>
              </w:rPr>
              <w:fldChar w:fldCharType="separate"/>
            </w:r>
            <w:r w:rsidR="00CF33C7">
              <w:rPr>
                <w:noProof/>
                <w:webHidden/>
              </w:rPr>
              <w:t>17</w:t>
            </w:r>
            <w:r w:rsidR="00504B35">
              <w:rPr>
                <w:noProof/>
                <w:webHidden/>
              </w:rPr>
              <w:fldChar w:fldCharType="end"/>
            </w:r>
          </w:hyperlink>
        </w:p>
        <w:p w:rsidR="00504B35" w:rsidRDefault="00C920F1">
          <w:pPr>
            <w:pStyle w:val="TOC2"/>
            <w:tabs>
              <w:tab w:val="left" w:pos="880"/>
              <w:tab w:val="right" w:leader="dot" w:pos="9350"/>
            </w:tabs>
            <w:rPr>
              <w:smallCaps w:val="0"/>
              <w:noProof/>
              <w:sz w:val="22"/>
              <w:szCs w:val="22"/>
            </w:rPr>
          </w:pPr>
          <w:hyperlink w:anchor="_Toc415060214" w:history="1">
            <w:r w:rsidR="00504B35" w:rsidRPr="00F34363">
              <w:rPr>
                <w:rStyle w:val="Hyperlink"/>
                <w:rFonts w:ascii="Arial" w:hAnsi="Arial" w:cs="Arial"/>
                <w:noProof/>
              </w:rPr>
              <w:t>1.5</w:t>
            </w:r>
            <w:r w:rsidR="00504B35">
              <w:rPr>
                <w:smallCaps w:val="0"/>
                <w:noProof/>
                <w:sz w:val="22"/>
                <w:szCs w:val="22"/>
              </w:rPr>
              <w:tab/>
            </w:r>
            <w:r w:rsidR="00504B35" w:rsidRPr="00F34363">
              <w:rPr>
                <w:rStyle w:val="Hyperlink"/>
                <w:rFonts w:ascii="Arial" w:hAnsi="Arial" w:cs="Arial"/>
                <w:noProof/>
              </w:rPr>
              <w:t>Annual Budget Tables - Parent Municipality</w:t>
            </w:r>
            <w:r w:rsidR="00504B35">
              <w:rPr>
                <w:noProof/>
                <w:webHidden/>
              </w:rPr>
              <w:tab/>
            </w:r>
            <w:r w:rsidR="00504B35">
              <w:rPr>
                <w:noProof/>
                <w:webHidden/>
              </w:rPr>
              <w:fldChar w:fldCharType="begin"/>
            </w:r>
            <w:r w:rsidR="00504B35">
              <w:rPr>
                <w:noProof/>
                <w:webHidden/>
              </w:rPr>
              <w:instrText xml:space="preserve"> PAGEREF _Toc415060214 \h </w:instrText>
            </w:r>
            <w:r w:rsidR="00504B35">
              <w:rPr>
                <w:noProof/>
                <w:webHidden/>
              </w:rPr>
            </w:r>
            <w:r w:rsidR="00504B35">
              <w:rPr>
                <w:noProof/>
                <w:webHidden/>
              </w:rPr>
              <w:fldChar w:fldCharType="separate"/>
            </w:r>
            <w:r w:rsidR="00CF33C7">
              <w:rPr>
                <w:noProof/>
                <w:webHidden/>
              </w:rPr>
              <w:t>18</w:t>
            </w:r>
            <w:r w:rsidR="00504B35">
              <w:rPr>
                <w:noProof/>
                <w:webHidden/>
              </w:rPr>
              <w:fldChar w:fldCharType="end"/>
            </w:r>
          </w:hyperlink>
        </w:p>
        <w:p w:rsidR="00287A64" w:rsidRPr="00287A64" w:rsidRDefault="00287A64" w:rsidP="00287A64">
          <w:pPr>
            <w:pStyle w:val="TOC3"/>
          </w:pPr>
          <w:r w:rsidRPr="00287A64">
            <w:t xml:space="preserve">Table </w:t>
          </w:r>
          <w:r>
            <w:t>7</w:t>
          </w:r>
          <w:r w:rsidRPr="00287A64">
            <w:t xml:space="preserve"> MBRR Table A1 - Budget Summary</w:t>
          </w:r>
        </w:p>
        <w:p w:rsidR="00504B35" w:rsidRDefault="00C920F1" w:rsidP="00287A64">
          <w:pPr>
            <w:pStyle w:val="TOC3"/>
            <w:rPr>
              <w:noProof/>
              <w:sz w:val="22"/>
              <w:szCs w:val="22"/>
            </w:rPr>
          </w:pPr>
          <w:hyperlink w:anchor="_Toc415060215" w:history="1">
            <w:r w:rsidR="00504B35" w:rsidRPr="00F34363">
              <w:rPr>
                <w:rStyle w:val="Hyperlink"/>
                <w:noProof/>
              </w:rPr>
              <w:t xml:space="preserve">Table </w:t>
            </w:r>
            <w:r w:rsidR="00287A64">
              <w:rPr>
                <w:rStyle w:val="Hyperlink"/>
                <w:noProof/>
              </w:rPr>
              <w:t>8</w:t>
            </w:r>
            <w:r w:rsidR="00504B35" w:rsidRPr="00F34363">
              <w:rPr>
                <w:rStyle w:val="Hyperlink"/>
                <w:noProof/>
              </w:rPr>
              <w:t xml:space="preserve"> MBRR Table A2 - Budgeted Financial Performance (revenue and expenditure by standard classification)</w:t>
            </w:r>
            <w:r w:rsidR="00504B35">
              <w:rPr>
                <w:noProof/>
                <w:webHidden/>
              </w:rPr>
              <w:tab/>
            </w:r>
            <w:r w:rsidR="00504B35">
              <w:rPr>
                <w:noProof/>
                <w:webHidden/>
              </w:rPr>
              <w:fldChar w:fldCharType="begin"/>
            </w:r>
            <w:r w:rsidR="00504B35">
              <w:rPr>
                <w:noProof/>
                <w:webHidden/>
              </w:rPr>
              <w:instrText xml:space="preserve"> PAGEREF _Toc415060215 \h </w:instrText>
            </w:r>
            <w:r w:rsidR="00504B35">
              <w:rPr>
                <w:noProof/>
                <w:webHidden/>
              </w:rPr>
            </w:r>
            <w:r w:rsidR="00504B35">
              <w:rPr>
                <w:noProof/>
                <w:webHidden/>
              </w:rPr>
              <w:fldChar w:fldCharType="separate"/>
            </w:r>
            <w:r w:rsidR="00CF33C7">
              <w:rPr>
                <w:b/>
                <w:bCs/>
                <w:noProof/>
                <w:webHidden/>
                <w:lang w:val="en-US"/>
              </w:rPr>
              <w:t>Error! Bookmark not defined.</w:t>
            </w:r>
            <w:r w:rsidR="00504B35">
              <w:rPr>
                <w:noProof/>
                <w:webHidden/>
              </w:rPr>
              <w:fldChar w:fldCharType="end"/>
            </w:r>
          </w:hyperlink>
        </w:p>
        <w:p w:rsidR="00504B35" w:rsidRDefault="00C920F1" w:rsidP="00287A64">
          <w:pPr>
            <w:pStyle w:val="TOC3"/>
            <w:rPr>
              <w:noProof/>
              <w:sz w:val="22"/>
              <w:szCs w:val="22"/>
            </w:rPr>
          </w:pPr>
          <w:hyperlink w:anchor="_Toc415060216" w:history="1">
            <w:r w:rsidR="00504B35" w:rsidRPr="00F34363">
              <w:rPr>
                <w:rStyle w:val="Hyperlink"/>
                <w:noProof/>
              </w:rPr>
              <w:t xml:space="preserve">Table </w:t>
            </w:r>
            <w:r w:rsidR="00287A64">
              <w:rPr>
                <w:rStyle w:val="Hyperlink"/>
                <w:noProof/>
              </w:rPr>
              <w:t>9</w:t>
            </w:r>
            <w:r w:rsidR="00504B35" w:rsidRPr="00F34363">
              <w:rPr>
                <w:rStyle w:val="Hyperlink"/>
                <w:noProof/>
              </w:rPr>
              <w:t xml:space="preserve"> MBRR Table A3 - Budgeted Financial Performance (revenue and expenditure by municipal vote)</w:t>
            </w:r>
            <w:r w:rsidR="00504B35">
              <w:rPr>
                <w:noProof/>
                <w:webHidden/>
              </w:rPr>
              <w:tab/>
            </w:r>
            <w:r w:rsidR="00504B35">
              <w:rPr>
                <w:noProof/>
                <w:webHidden/>
              </w:rPr>
              <w:fldChar w:fldCharType="begin"/>
            </w:r>
            <w:r w:rsidR="00504B35">
              <w:rPr>
                <w:noProof/>
                <w:webHidden/>
              </w:rPr>
              <w:instrText xml:space="preserve"> PAGEREF _Toc415060216 \h </w:instrText>
            </w:r>
            <w:r w:rsidR="00504B35">
              <w:rPr>
                <w:noProof/>
                <w:webHidden/>
              </w:rPr>
            </w:r>
            <w:r w:rsidR="00504B35">
              <w:rPr>
                <w:noProof/>
                <w:webHidden/>
              </w:rPr>
              <w:fldChar w:fldCharType="separate"/>
            </w:r>
            <w:r w:rsidR="00CF33C7">
              <w:rPr>
                <w:b/>
                <w:bCs/>
                <w:noProof/>
                <w:webHidden/>
                <w:lang w:val="en-US"/>
              </w:rPr>
              <w:t>Error! Bookmark not defined.</w:t>
            </w:r>
            <w:r w:rsidR="00504B35">
              <w:rPr>
                <w:noProof/>
                <w:webHidden/>
              </w:rPr>
              <w:fldChar w:fldCharType="end"/>
            </w:r>
          </w:hyperlink>
        </w:p>
        <w:p w:rsidR="00504B35" w:rsidRDefault="00C920F1" w:rsidP="00287A64">
          <w:pPr>
            <w:pStyle w:val="TOC3"/>
            <w:rPr>
              <w:noProof/>
              <w:sz w:val="22"/>
              <w:szCs w:val="22"/>
            </w:rPr>
          </w:pPr>
          <w:hyperlink w:anchor="_Toc415060217" w:history="1">
            <w:r w:rsidR="00504B35" w:rsidRPr="00F34363">
              <w:rPr>
                <w:rStyle w:val="Hyperlink"/>
                <w:noProof/>
              </w:rPr>
              <w:t>Table 1</w:t>
            </w:r>
            <w:r w:rsidR="00287A64">
              <w:rPr>
                <w:rStyle w:val="Hyperlink"/>
                <w:noProof/>
              </w:rPr>
              <w:t>0</w:t>
            </w:r>
            <w:r w:rsidR="00504B35" w:rsidRPr="00F34363">
              <w:rPr>
                <w:rStyle w:val="Hyperlink"/>
                <w:noProof/>
              </w:rPr>
              <w:t xml:space="preserve"> Surplus/ (Deficit) calculations for the trading services</w:t>
            </w:r>
            <w:r w:rsidR="00504B35">
              <w:rPr>
                <w:noProof/>
                <w:webHidden/>
              </w:rPr>
              <w:tab/>
            </w:r>
            <w:r w:rsidR="00504B35">
              <w:rPr>
                <w:noProof/>
                <w:webHidden/>
              </w:rPr>
              <w:fldChar w:fldCharType="begin"/>
            </w:r>
            <w:r w:rsidR="00504B35">
              <w:rPr>
                <w:noProof/>
                <w:webHidden/>
              </w:rPr>
              <w:instrText xml:space="preserve"> PAGEREF _Toc415060217 \h </w:instrText>
            </w:r>
            <w:r w:rsidR="00504B35">
              <w:rPr>
                <w:noProof/>
                <w:webHidden/>
              </w:rPr>
            </w:r>
            <w:r w:rsidR="00504B35">
              <w:rPr>
                <w:noProof/>
                <w:webHidden/>
              </w:rPr>
              <w:fldChar w:fldCharType="separate"/>
            </w:r>
            <w:r w:rsidR="00CF33C7">
              <w:rPr>
                <w:b/>
                <w:bCs/>
                <w:noProof/>
                <w:webHidden/>
                <w:lang w:val="en-US"/>
              </w:rPr>
              <w:t>Error! Bookmark not defined.</w:t>
            </w:r>
            <w:r w:rsidR="00504B35">
              <w:rPr>
                <w:noProof/>
                <w:webHidden/>
              </w:rPr>
              <w:fldChar w:fldCharType="end"/>
            </w:r>
          </w:hyperlink>
        </w:p>
        <w:p w:rsidR="00504B35" w:rsidRDefault="00C920F1" w:rsidP="00287A64">
          <w:pPr>
            <w:pStyle w:val="TOC3"/>
            <w:rPr>
              <w:noProof/>
              <w:sz w:val="22"/>
              <w:szCs w:val="22"/>
            </w:rPr>
          </w:pPr>
          <w:hyperlink w:anchor="_Toc415060218" w:history="1">
            <w:r w:rsidR="00504B35" w:rsidRPr="00F34363">
              <w:rPr>
                <w:rStyle w:val="Hyperlink"/>
                <w:noProof/>
              </w:rPr>
              <w:t>Table 1</w:t>
            </w:r>
            <w:r w:rsidR="00287A64">
              <w:rPr>
                <w:rStyle w:val="Hyperlink"/>
                <w:noProof/>
              </w:rPr>
              <w:t>1</w:t>
            </w:r>
            <w:r w:rsidR="00504B35" w:rsidRPr="00F34363">
              <w:rPr>
                <w:rStyle w:val="Hyperlink"/>
                <w:noProof/>
              </w:rPr>
              <w:t xml:space="preserve"> MBRR Table A4 - Budgeted Financial Performance (revenue and expenditure)</w:t>
            </w:r>
            <w:r w:rsidR="00504B35">
              <w:rPr>
                <w:noProof/>
                <w:webHidden/>
              </w:rPr>
              <w:tab/>
            </w:r>
            <w:r w:rsidR="00504B35">
              <w:rPr>
                <w:noProof/>
                <w:webHidden/>
              </w:rPr>
              <w:fldChar w:fldCharType="begin"/>
            </w:r>
            <w:r w:rsidR="00504B35">
              <w:rPr>
                <w:noProof/>
                <w:webHidden/>
              </w:rPr>
              <w:instrText xml:space="preserve"> PAGEREF _Toc415060218 \h </w:instrText>
            </w:r>
            <w:r w:rsidR="00504B35">
              <w:rPr>
                <w:noProof/>
                <w:webHidden/>
              </w:rPr>
            </w:r>
            <w:r w:rsidR="00504B35">
              <w:rPr>
                <w:noProof/>
                <w:webHidden/>
              </w:rPr>
              <w:fldChar w:fldCharType="separate"/>
            </w:r>
            <w:r w:rsidR="00CF33C7">
              <w:rPr>
                <w:noProof/>
                <w:webHidden/>
              </w:rPr>
              <w:t>20</w:t>
            </w:r>
            <w:r w:rsidR="00504B35">
              <w:rPr>
                <w:noProof/>
                <w:webHidden/>
              </w:rPr>
              <w:fldChar w:fldCharType="end"/>
            </w:r>
          </w:hyperlink>
        </w:p>
        <w:p w:rsidR="00504B35" w:rsidRDefault="00C920F1" w:rsidP="00287A64">
          <w:pPr>
            <w:pStyle w:val="TOC3"/>
            <w:rPr>
              <w:noProof/>
              <w:sz w:val="22"/>
              <w:szCs w:val="22"/>
            </w:rPr>
          </w:pPr>
          <w:hyperlink w:anchor="_Toc415060219" w:history="1">
            <w:r w:rsidR="00504B35" w:rsidRPr="00F34363">
              <w:rPr>
                <w:rStyle w:val="Hyperlink"/>
                <w:noProof/>
              </w:rPr>
              <w:t>Table 1</w:t>
            </w:r>
            <w:r w:rsidR="00287A64">
              <w:rPr>
                <w:rStyle w:val="Hyperlink"/>
                <w:noProof/>
              </w:rPr>
              <w:t>2</w:t>
            </w:r>
            <w:r w:rsidR="00504B35" w:rsidRPr="00F34363">
              <w:rPr>
                <w:rStyle w:val="Hyperlink"/>
                <w:noProof/>
              </w:rPr>
              <w:t xml:space="preserve"> MBRR Table A5 - Budgeted Capital Expenditure by vote, standard classification and funding source</w:t>
            </w:r>
            <w:r w:rsidR="00504B35">
              <w:rPr>
                <w:noProof/>
                <w:webHidden/>
              </w:rPr>
              <w:tab/>
            </w:r>
            <w:r w:rsidR="00504B35">
              <w:rPr>
                <w:noProof/>
                <w:webHidden/>
              </w:rPr>
              <w:fldChar w:fldCharType="begin"/>
            </w:r>
            <w:r w:rsidR="00504B35">
              <w:rPr>
                <w:noProof/>
                <w:webHidden/>
              </w:rPr>
              <w:instrText xml:space="preserve"> PAGEREF _Toc415060219 \h </w:instrText>
            </w:r>
            <w:r w:rsidR="00504B35">
              <w:rPr>
                <w:noProof/>
                <w:webHidden/>
              </w:rPr>
            </w:r>
            <w:r w:rsidR="00504B35">
              <w:rPr>
                <w:noProof/>
                <w:webHidden/>
              </w:rPr>
              <w:fldChar w:fldCharType="separate"/>
            </w:r>
            <w:r w:rsidR="00CF33C7">
              <w:rPr>
                <w:noProof/>
                <w:webHidden/>
              </w:rPr>
              <w:t>23</w:t>
            </w:r>
            <w:r w:rsidR="00504B35">
              <w:rPr>
                <w:noProof/>
                <w:webHidden/>
              </w:rPr>
              <w:fldChar w:fldCharType="end"/>
            </w:r>
          </w:hyperlink>
        </w:p>
        <w:p w:rsidR="00504B35" w:rsidRDefault="00C920F1" w:rsidP="00287A64">
          <w:pPr>
            <w:pStyle w:val="TOC3"/>
            <w:rPr>
              <w:noProof/>
              <w:sz w:val="22"/>
              <w:szCs w:val="22"/>
            </w:rPr>
          </w:pPr>
          <w:hyperlink w:anchor="_Toc415060220" w:history="1">
            <w:r w:rsidR="00504B35" w:rsidRPr="00F34363">
              <w:rPr>
                <w:rStyle w:val="Hyperlink"/>
                <w:noProof/>
              </w:rPr>
              <w:t>Table 1</w:t>
            </w:r>
            <w:r w:rsidR="00287A64">
              <w:rPr>
                <w:rStyle w:val="Hyperlink"/>
                <w:noProof/>
              </w:rPr>
              <w:t>3</w:t>
            </w:r>
            <w:r w:rsidR="00504B35" w:rsidRPr="00F34363">
              <w:rPr>
                <w:rStyle w:val="Hyperlink"/>
                <w:noProof/>
              </w:rPr>
              <w:t xml:space="preserve"> MBRR Table A6 - Budgeted Financial Position</w:t>
            </w:r>
            <w:r w:rsidR="00504B35">
              <w:rPr>
                <w:noProof/>
                <w:webHidden/>
              </w:rPr>
              <w:tab/>
            </w:r>
            <w:r w:rsidR="00504B35">
              <w:rPr>
                <w:noProof/>
                <w:webHidden/>
              </w:rPr>
              <w:fldChar w:fldCharType="begin"/>
            </w:r>
            <w:r w:rsidR="00504B35">
              <w:rPr>
                <w:noProof/>
                <w:webHidden/>
              </w:rPr>
              <w:instrText xml:space="preserve"> PAGEREF _Toc415060220 \h </w:instrText>
            </w:r>
            <w:r w:rsidR="00504B35">
              <w:rPr>
                <w:noProof/>
                <w:webHidden/>
              </w:rPr>
            </w:r>
            <w:r w:rsidR="00504B35">
              <w:rPr>
                <w:noProof/>
                <w:webHidden/>
              </w:rPr>
              <w:fldChar w:fldCharType="separate"/>
            </w:r>
            <w:r w:rsidR="00CF33C7">
              <w:rPr>
                <w:noProof/>
                <w:webHidden/>
              </w:rPr>
              <w:t>24</w:t>
            </w:r>
            <w:r w:rsidR="00504B35">
              <w:rPr>
                <w:noProof/>
                <w:webHidden/>
              </w:rPr>
              <w:fldChar w:fldCharType="end"/>
            </w:r>
          </w:hyperlink>
        </w:p>
        <w:p w:rsidR="00504B35" w:rsidRDefault="00C920F1" w:rsidP="00287A64">
          <w:pPr>
            <w:pStyle w:val="TOC3"/>
            <w:rPr>
              <w:noProof/>
              <w:sz w:val="22"/>
              <w:szCs w:val="22"/>
            </w:rPr>
          </w:pPr>
          <w:hyperlink w:anchor="_Toc415060221" w:history="1">
            <w:r w:rsidR="00504B35" w:rsidRPr="00F34363">
              <w:rPr>
                <w:rStyle w:val="Hyperlink"/>
                <w:noProof/>
              </w:rPr>
              <w:t>Table 1</w:t>
            </w:r>
            <w:r w:rsidR="00287A64">
              <w:rPr>
                <w:rStyle w:val="Hyperlink"/>
                <w:noProof/>
              </w:rPr>
              <w:t>4</w:t>
            </w:r>
            <w:r w:rsidR="00504B35" w:rsidRPr="00F34363">
              <w:rPr>
                <w:rStyle w:val="Hyperlink"/>
                <w:noProof/>
              </w:rPr>
              <w:t xml:space="preserve"> MBRR Table A7 - Budgeted Cash Flow Statement</w:t>
            </w:r>
            <w:r w:rsidR="00504B35">
              <w:rPr>
                <w:noProof/>
                <w:webHidden/>
              </w:rPr>
              <w:tab/>
            </w:r>
            <w:r w:rsidR="00504B35">
              <w:rPr>
                <w:noProof/>
                <w:webHidden/>
              </w:rPr>
              <w:fldChar w:fldCharType="begin"/>
            </w:r>
            <w:r w:rsidR="00504B35">
              <w:rPr>
                <w:noProof/>
                <w:webHidden/>
              </w:rPr>
              <w:instrText xml:space="preserve"> PAGEREF _Toc415060221 \h </w:instrText>
            </w:r>
            <w:r w:rsidR="00504B35">
              <w:rPr>
                <w:noProof/>
                <w:webHidden/>
              </w:rPr>
            </w:r>
            <w:r w:rsidR="00504B35">
              <w:rPr>
                <w:noProof/>
                <w:webHidden/>
              </w:rPr>
              <w:fldChar w:fldCharType="separate"/>
            </w:r>
            <w:r w:rsidR="00CF33C7">
              <w:rPr>
                <w:noProof/>
                <w:webHidden/>
              </w:rPr>
              <w:t>27</w:t>
            </w:r>
            <w:r w:rsidR="00504B35">
              <w:rPr>
                <w:noProof/>
                <w:webHidden/>
              </w:rPr>
              <w:fldChar w:fldCharType="end"/>
            </w:r>
          </w:hyperlink>
        </w:p>
        <w:p w:rsidR="00504B35" w:rsidRDefault="00C920F1" w:rsidP="00287A64">
          <w:pPr>
            <w:pStyle w:val="TOC3"/>
            <w:rPr>
              <w:noProof/>
              <w:sz w:val="22"/>
              <w:szCs w:val="22"/>
            </w:rPr>
          </w:pPr>
          <w:hyperlink w:anchor="_Toc415060222" w:history="1">
            <w:r w:rsidR="00504B35" w:rsidRPr="00F34363">
              <w:rPr>
                <w:rStyle w:val="Hyperlink"/>
                <w:noProof/>
              </w:rPr>
              <w:t>Table 1</w:t>
            </w:r>
            <w:r w:rsidR="00287A64">
              <w:rPr>
                <w:rStyle w:val="Hyperlink"/>
                <w:noProof/>
              </w:rPr>
              <w:t>5</w:t>
            </w:r>
            <w:r w:rsidR="00504B35" w:rsidRPr="00F34363">
              <w:rPr>
                <w:rStyle w:val="Hyperlink"/>
                <w:noProof/>
              </w:rPr>
              <w:t xml:space="preserve"> MBRR Table A8 - Cash Backed Reserves/Accumulated Surplus Reconciliation</w:t>
            </w:r>
            <w:r w:rsidR="00504B35">
              <w:rPr>
                <w:noProof/>
                <w:webHidden/>
              </w:rPr>
              <w:tab/>
            </w:r>
            <w:r w:rsidR="00504B35">
              <w:rPr>
                <w:noProof/>
                <w:webHidden/>
              </w:rPr>
              <w:fldChar w:fldCharType="begin"/>
            </w:r>
            <w:r w:rsidR="00504B35">
              <w:rPr>
                <w:noProof/>
                <w:webHidden/>
              </w:rPr>
              <w:instrText xml:space="preserve"> PAGEREF _Toc415060222 \h </w:instrText>
            </w:r>
            <w:r w:rsidR="00504B35">
              <w:rPr>
                <w:noProof/>
                <w:webHidden/>
              </w:rPr>
            </w:r>
            <w:r w:rsidR="00504B35">
              <w:rPr>
                <w:noProof/>
                <w:webHidden/>
              </w:rPr>
              <w:fldChar w:fldCharType="separate"/>
            </w:r>
            <w:r w:rsidR="00CF33C7">
              <w:rPr>
                <w:noProof/>
                <w:webHidden/>
              </w:rPr>
              <w:t>27</w:t>
            </w:r>
            <w:r w:rsidR="00504B35">
              <w:rPr>
                <w:noProof/>
                <w:webHidden/>
              </w:rPr>
              <w:fldChar w:fldCharType="end"/>
            </w:r>
          </w:hyperlink>
        </w:p>
        <w:p w:rsidR="00F11C99" w:rsidRDefault="00F11C99">
          <w:r>
            <w:rPr>
              <w:b/>
              <w:bCs/>
              <w:noProof/>
            </w:rPr>
            <w:fldChar w:fldCharType="end"/>
          </w:r>
        </w:p>
      </w:sdtContent>
    </w:sdt>
    <w:p w:rsidR="00281E23" w:rsidRDefault="00281E23">
      <w:pPr>
        <w:rPr>
          <w:rFonts w:ascii="Arial Black" w:hAnsi="Arial Black"/>
          <w:sz w:val="32"/>
          <w:szCs w:val="32"/>
        </w:rPr>
      </w:pPr>
    </w:p>
    <w:p w:rsidR="004A353B" w:rsidRDefault="004A353B">
      <w:pPr>
        <w:rPr>
          <w:rFonts w:ascii="Arial Black" w:hAnsi="Arial Black"/>
          <w:sz w:val="32"/>
          <w:szCs w:val="32"/>
        </w:rPr>
      </w:pPr>
    </w:p>
    <w:p w:rsidR="004A353B" w:rsidRDefault="004A353B">
      <w:pPr>
        <w:rPr>
          <w:rFonts w:ascii="Arial Black" w:hAnsi="Arial Black"/>
          <w:sz w:val="32"/>
          <w:szCs w:val="32"/>
        </w:rPr>
      </w:pPr>
    </w:p>
    <w:p w:rsidR="001151CD" w:rsidRDefault="001151CD">
      <w:pPr>
        <w:rPr>
          <w:rFonts w:ascii="Arial Black" w:hAnsi="Arial Black"/>
          <w:sz w:val="32"/>
          <w:szCs w:val="32"/>
        </w:rPr>
      </w:pPr>
    </w:p>
    <w:p w:rsidR="001151CD" w:rsidRDefault="001151CD">
      <w:pPr>
        <w:rPr>
          <w:rFonts w:ascii="Arial Black" w:hAnsi="Arial Black"/>
          <w:sz w:val="32"/>
          <w:szCs w:val="32"/>
        </w:rPr>
        <w:sectPr w:rsidR="001151CD" w:rsidSect="00A651BC">
          <w:headerReference w:type="default" r:id="rId16"/>
          <w:headerReference w:type="first" r:id="rId17"/>
          <w:footerReference w:type="first" r:id="rId18"/>
          <w:type w:val="continuous"/>
          <w:pgSz w:w="12240" w:h="15840"/>
          <w:pgMar w:top="1440" w:right="1440" w:bottom="1440" w:left="1440" w:header="708" w:footer="708" w:gutter="0"/>
          <w:pgNumType w:fmt="lowerRoman" w:start="1"/>
          <w:cols w:space="708"/>
          <w:titlePg/>
          <w:docGrid w:linePitch="360"/>
        </w:sectPr>
      </w:pPr>
    </w:p>
    <w:p w:rsidR="00A94F8D" w:rsidRPr="008D6BA7" w:rsidRDefault="00A94F8D" w:rsidP="00387B6B">
      <w:pPr>
        <w:pStyle w:val="Heading2"/>
        <w:spacing w:line="360" w:lineRule="auto"/>
        <w:rPr>
          <w:rFonts w:ascii="Arial" w:hAnsi="Arial" w:cs="Arial"/>
          <w:color w:val="auto"/>
        </w:rPr>
      </w:pPr>
      <w:bookmarkStart w:id="7" w:name="_Toc286034092"/>
      <w:bookmarkStart w:id="8" w:name="_Toc286034683"/>
      <w:bookmarkStart w:id="9" w:name="_Toc286041434"/>
      <w:bookmarkStart w:id="10" w:name="_Toc286041503"/>
      <w:bookmarkStart w:id="11" w:name="_Toc286117313"/>
      <w:bookmarkStart w:id="12" w:name="_Toc383769344"/>
      <w:bookmarkStart w:id="13" w:name="_Toc415060202"/>
      <w:bookmarkEnd w:id="6"/>
      <w:r w:rsidRPr="008D6BA7">
        <w:rPr>
          <w:rFonts w:ascii="Arial" w:hAnsi="Arial" w:cs="Arial"/>
          <w:color w:val="auto"/>
        </w:rPr>
        <w:t>Executive Summary</w:t>
      </w:r>
      <w:bookmarkEnd w:id="7"/>
      <w:bookmarkEnd w:id="8"/>
      <w:bookmarkEnd w:id="9"/>
      <w:bookmarkEnd w:id="10"/>
      <w:bookmarkEnd w:id="11"/>
      <w:bookmarkEnd w:id="12"/>
      <w:bookmarkEnd w:id="13"/>
    </w:p>
    <w:p w:rsidR="00732554" w:rsidRPr="00732554" w:rsidRDefault="00732554" w:rsidP="00387B6B">
      <w:pPr>
        <w:spacing w:after="0" w:line="360" w:lineRule="auto"/>
        <w:jc w:val="both"/>
        <w:rPr>
          <w:rFonts w:ascii="Arial" w:hAnsi="Arial" w:cs="Arial"/>
        </w:rPr>
      </w:pPr>
    </w:p>
    <w:p w:rsidR="00277583" w:rsidRDefault="00277583" w:rsidP="00387B6B">
      <w:pPr>
        <w:spacing w:after="0" w:line="360" w:lineRule="auto"/>
        <w:jc w:val="both"/>
        <w:rPr>
          <w:rFonts w:ascii="Arial" w:hAnsi="Arial" w:cs="Arial"/>
        </w:rPr>
      </w:pPr>
      <w:r w:rsidRPr="00277583">
        <w:rPr>
          <w:rFonts w:ascii="Arial" w:hAnsi="Arial" w:cs="Arial"/>
        </w:rPr>
        <w:t xml:space="preserve">In terms of section 227 of the Constitution, local government is entitled to an equitable share of nationally raised revenue to enable it to provide basic services and perform its allocated functions. The local government equitable share is an unconditional transfer that supplements the revenue </w:t>
      </w:r>
      <w:r w:rsidR="00237166">
        <w:rPr>
          <w:rFonts w:ascii="Arial" w:hAnsi="Arial" w:cs="Arial"/>
        </w:rPr>
        <w:t xml:space="preserve">raised by municipalities </w:t>
      </w:r>
      <w:r w:rsidRPr="00277583">
        <w:rPr>
          <w:rFonts w:ascii="Arial" w:hAnsi="Arial" w:cs="Arial"/>
        </w:rPr>
        <w:t>(including property rates and service charges). The equitable share provides funding for municipalities to deliver free basic services to poor households and subsidises the cost of administration and other core services for those municipalities that have the least potential to cover these.</w:t>
      </w:r>
    </w:p>
    <w:p w:rsidR="00277583" w:rsidRPr="00277583" w:rsidRDefault="00277583" w:rsidP="00387B6B">
      <w:pPr>
        <w:spacing w:after="0" w:line="360" w:lineRule="auto"/>
        <w:jc w:val="both"/>
        <w:rPr>
          <w:rFonts w:ascii="Arial" w:hAnsi="Arial" w:cs="Arial"/>
        </w:rPr>
      </w:pPr>
    </w:p>
    <w:p w:rsidR="00277583" w:rsidRDefault="00277583" w:rsidP="00387B6B">
      <w:pPr>
        <w:spacing w:after="0" w:line="360" w:lineRule="auto"/>
        <w:jc w:val="both"/>
        <w:rPr>
          <w:rFonts w:ascii="Arial" w:hAnsi="Arial" w:cs="Arial"/>
        </w:rPr>
      </w:pPr>
      <w:r w:rsidRPr="006706E5">
        <w:rPr>
          <w:rFonts w:ascii="Arial" w:hAnsi="Arial" w:cs="Arial"/>
        </w:rPr>
        <w:t>The Constitution</w:t>
      </w:r>
      <w:r w:rsidRPr="00277583">
        <w:rPr>
          <w:rFonts w:ascii="Arial" w:hAnsi="Arial" w:cs="Arial"/>
        </w:rPr>
        <w:t xml:space="preserve"> gives local government substantial own-revenue-raising powers (particularly through property rates and surcharges on services). Municipalities are expected to fund most of their own administrative costs and cross-subsidise some services for indigent residents. The budget must indicate all allocations from its equitable share and conditional allocations to be transferred to the municipality indicating each category of funding to be utilised by the municipality in the provision of services</w:t>
      </w:r>
      <w:r>
        <w:rPr>
          <w:rFonts w:ascii="Arial" w:hAnsi="Arial" w:cs="Arial"/>
        </w:rPr>
        <w:t>.</w:t>
      </w:r>
    </w:p>
    <w:p w:rsidR="00277583" w:rsidRDefault="00277583" w:rsidP="00387B6B">
      <w:pPr>
        <w:spacing w:after="0" w:line="360" w:lineRule="auto"/>
        <w:jc w:val="both"/>
        <w:rPr>
          <w:rFonts w:ascii="Arial" w:hAnsi="Arial" w:cs="Arial"/>
        </w:rPr>
      </w:pPr>
    </w:p>
    <w:p w:rsidR="00E92A24" w:rsidRDefault="00633724" w:rsidP="00387B6B">
      <w:pPr>
        <w:spacing w:after="0" w:line="360" w:lineRule="auto"/>
        <w:jc w:val="both"/>
        <w:rPr>
          <w:rFonts w:ascii="Arial" w:hAnsi="Arial" w:cs="Arial"/>
        </w:rPr>
      </w:pPr>
      <w:r>
        <w:rPr>
          <w:rFonts w:ascii="Arial" w:hAnsi="Arial" w:cs="Arial"/>
        </w:rPr>
        <w:t>In view of the aforementioned, the following</w:t>
      </w:r>
      <w:r w:rsidR="00FB7FDD">
        <w:rPr>
          <w:rFonts w:ascii="Arial" w:hAnsi="Arial" w:cs="Arial"/>
        </w:rPr>
        <w:t xml:space="preserve"> table</w:t>
      </w:r>
      <w:r>
        <w:rPr>
          <w:rFonts w:ascii="Arial" w:hAnsi="Arial" w:cs="Arial"/>
        </w:rPr>
        <w:t xml:space="preserve"> is a </w:t>
      </w:r>
      <w:r w:rsidR="00A22A2C">
        <w:rPr>
          <w:rFonts w:ascii="Arial" w:hAnsi="Arial" w:cs="Arial"/>
        </w:rPr>
        <w:t xml:space="preserve">consolidated overview </w:t>
      </w:r>
      <w:r>
        <w:rPr>
          <w:rFonts w:ascii="Arial" w:hAnsi="Arial" w:cs="Arial"/>
        </w:rPr>
        <w:t xml:space="preserve">of the proposed </w:t>
      </w:r>
      <w:r w:rsidR="006706E5">
        <w:rPr>
          <w:rFonts w:ascii="Arial" w:hAnsi="Arial" w:cs="Arial"/>
        </w:rPr>
        <w:t>20</w:t>
      </w:r>
      <w:r w:rsidR="009729AF">
        <w:rPr>
          <w:rFonts w:ascii="Arial" w:hAnsi="Arial" w:cs="Arial"/>
        </w:rPr>
        <w:t>20</w:t>
      </w:r>
      <w:r w:rsidR="006706E5">
        <w:rPr>
          <w:rFonts w:ascii="Arial" w:hAnsi="Arial" w:cs="Arial"/>
        </w:rPr>
        <w:t>/</w:t>
      </w:r>
      <w:r w:rsidR="004741ED">
        <w:rPr>
          <w:rFonts w:ascii="Arial" w:hAnsi="Arial" w:cs="Arial"/>
        </w:rPr>
        <w:t>2</w:t>
      </w:r>
      <w:r w:rsidR="009729AF">
        <w:rPr>
          <w:rFonts w:ascii="Arial" w:hAnsi="Arial" w:cs="Arial"/>
        </w:rPr>
        <w:t>1</w:t>
      </w:r>
      <w:r>
        <w:rPr>
          <w:rFonts w:ascii="Arial" w:hAnsi="Arial" w:cs="Arial"/>
        </w:rPr>
        <w:t xml:space="preserve"> </w:t>
      </w:r>
      <w:r w:rsidR="004741ED">
        <w:rPr>
          <w:rFonts w:ascii="Arial" w:hAnsi="Arial" w:cs="Arial"/>
        </w:rPr>
        <w:t xml:space="preserve">(MTREF) </w:t>
      </w:r>
      <w:r>
        <w:rPr>
          <w:rFonts w:ascii="Arial" w:hAnsi="Arial" w:cs="Arial"/>
        </w:rPr>
        <w:t>Medium-term Revenue and Expenditure Framework</w:t>
      </w:r>
      <w:r w:rsidR="003C1E01">
        <w:rPr>
          <w:rFonts w:ascii="Arial" w:hAnsi="Arial" w:cs="Arial"/>
        </w:rPr>
        <w:t xml:space="preserve"> for Chris Hani District Municipality</w:t>
      </w:r>
      <w:r w:rsidR="00FB7FDD">
        <w:rPr>
          <w:rFonts w:ascii="Arial" w:hAnsi="Arial" w:cs="Arial"/>
        </w:rPr>
        <w:t>:</w:t>
      </w:r>
    </w:p>
    <w:p w:rsidR="001A5BA6" w:rsidRDefault="001A5BA6" w:rsidP="00387B6B">
      <w:pPr>
        <w:pStyle w:val="Heading3"/>
        <w:numPr>
          <w:ilvl w:val="0"/>
          <w:numId w:val="0"/>
        </w:numPr>
        <w:spacing w:line="360" w:lineRule="auto"/>
        <w:rPr>
          <w:rFonts w:ascii="Arial" w:hAnsi="Arial" w:cs="Arial"/>
          <w:color w:val="auto"/>
        </w:rPr>
      </w:pPr>
      <w:bookmarkStart w:id="14" w:name="_Toc287342442"/>
      <w:bookmarkStart w:id="15" w:name="_Toc415060203"/>
      <w:r w:rsidRPr="00703540">
        <w:rPr>
          <w:rFonts w:ascii="Arial" w:hAnsi="Arial" w:cs="Arial"/>
          <w:color w:val="auto"/>
        </w:rPr>
        <w:t xml:space="preserve">Table </w:t>
      </w:r>
      <w:r w:rsidR="009729AF">
        <w:rPr>
          <w:rFonts w:ascii="Arial" w:hAnsi="Arial" w:cs="Arial"/>
          <w:color w:val="auto"/>
        </w:rPr>
        <w:t>1</w:t>
      </w:r>
      <w:r w:rsidRPr="00703540">
        <w:rPr>
          <w:rFonts w:ascii="Arial" w:hAnsi="Arial" w:cs="Arial"/>
          <w:color w:val="auto"/>
        </w:rPr>
        <w:t xml:space="preserve"> Consolidated Overview of the </w:t>
      </w:r>
      <w:r w:rsidR="006706E5">
        <w:rPr>
          <w:rFonts w:ascii="Arial" w:hAnsi="Arial" w:cs="Arial"/>
          <w:color w:val="auto"/>
        </w:rPr>
        <w:t>20</w:t>
      </w:r>
      <w:r w:rsidR="009729AF">
        <w:rPr>
          <w:rFonts w:ascii="Arial" w:hAnsi="Arial" w:cs="Arial"/>
          <w:color w:val="auto"/>
        </w:rPr>
        <w:t>20</w:t>
      </w:r>
      <w:r w:rsidR="006706E5">
        <w:rPr>
          <w:rFonts w:ascii="Arial" w:hAnsi="Arial" w:cs="Arial"/>
          <w:color w:val="auto"/>
        </w:rPr>
        <w:t>/</w:t>
      </w:r>
      <w:r w:rsidR="00F24A9A">
        <w:rPr>
          <w:rFonts w:ascii="Arial" w:hAnsi="Arial" w:cs="Arial"/>
          <w:color w:val="auto"/>
        </w:rPr>
        <w:t>2</w:t>
      </w:r>
      <w:r w:rsidR="009729AF">
        <w:rPr>
          <w:rFonts w:ascii="Arial" w:hAnsi="Arial" w:cs="Arial"/>
          <w:color w:val="auto"/>
        </w:rPr>
        <w:t>1</w:t>
      </w:r>
      <w:r w:rsidRPr="00703540">
        <w:rPr>
          <w:rFonts w:ascii="Arial" w:hAnsi="Arial" w:cs="Arial"/>
          <w:color w:val="auto"/>
        </w:rPr>
        <w:t xml:space="preserve"> MTREF</w:t>
      </w:r>
      <w:bookmarkEnd w:id="14"/>
      <w:bookmarkEnd w:id="15"/>
      <w:r w:rsidR="00F24A9A">
        <w:rPr>
          <w:rFonts w:ascii="Arial" w:hAnsi="Arial" w:cs="Arial"/>
          <w:color w:val="auto"/>
        </w:rPr>
        <w:t>:-</w:t>
      </w:r>
    </w:p>
    <w:p w:rsidR="009729AF" w:rsidRDefault="00721C3C" w:rsidP="0023306E">
      <w:r w:rsidRPr="00721C3C">
        <w:rPr>
          <w:noProof/>
          <w:lang w:val="en-US" w:eastAsia="en-US"/>
        </w:rPr>
        <w:drawing>
          <wp:inline distT="0" distB="0" distL="0" distR="0">
            <wp:extent cx="6555703" cy="2606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2510" cy="2608746"/>
                    </a:xfrm>
                    <a:prstGeom prst="rect">
                      <a:avLst/>
                    </a:prstGeom>
                    <a:noFill/>
                    <a:ln>
                      <a:noFill/>
                    </a:ln>
                  </pic:spPr>
                </pic:pic>
              </a:graphicData>
            </a:graphic>
          </wp:inline>
        </w:drawing>
      </w:r>
    </w:p>
    <w:p w:rsidR="0083224D" w:rsidRDefault="00E92A24" w:rsidP="00387B6B">
      <w:pPr>
        <w:spacing w:after="0" w:line="360" w:lineRule="auto"/>
        <w:jc w:val="both"/>
        <w:rPr>
          <w:rFonts w:ascii="Arial" w:hAnsi="Arial" w:cs="Arial"/>
        </w:rPr>
      </w:pPr>
      <w:r w:rsidRPr="004741ED">
        <w:rPr>
          <w:rFonts w:ascii="Arial" w:hAnsi="Arial" w:cs="Arial"/>
        </w:rPr>
        <w:t>Total operating</w:t>
      </w:r>
      <w:r>
        <w:rPr>
          <w:rFonts w:ascii="Arial" w:hAnsi="Arial" w:cs="Arial"/>
        </w:rPr>
        <w:t xml:space="preserve"> revenue has </w:t>
      </w:r>
      <w:r w:rsidR="00B079F4">
        <w:rPr>
          <w:rFonts w:ascii="Arial" w:hAnsi="Arial" w:cs="Arial"/>
        </w:rPr>
        <w:t>declined</w:t>
      </w:r>
      <w:r w:rsidRPr="00A314D5">
        <w:rPr>
          <w:rFonts w:ascii="Arial" w:hAnsi="Arial" w:cs="Arial"/>
        </w:rPr>
        <w:t xml:space="preserve"> by </w:t>
      </w:r>
      <w:r w:rsidR="00BB49DC">
        <w:rPr>
          <w:rFonts w:ascii="Arial" w:hAnsi="Arial" w:cs="Arial"/>
        </w:rPr>
        <w:t>3</w:t>
      </w:r>
      <w:r w:rsidR="00486FDC">
        <w:rPr>
          <w:rFonts w:ascii="Arial" w:hAnsi="Arial" w:cs="Arial"/>
        </w:rPr>
        <w:t>.</w:t>
      </w:r>
      <w:r w:rsidR="00BB49DC">
        <w:rPr>
          <w:rFonts w:ascii="Arial" w:hAnsi="Arial" w:cs="Arial"/>
        </w:rPr>
        <w:t>3</w:t>
      </w:r>
      <w:r w:rsidRPr="006706E5">
        <w:rPr>
          <w:rFonts w:ascii="Arial" w:hAnsi="Arial" w:cs="Arial"/>
          <w:color w:val="FF0000"/>
        </w:rPr>
        <w:t xml:space="preserve"> </w:t>
      </w:r>
      <w:r w:rsidR="00660083">
        <w:rPr>
          <w:rFonts w:ascii="Arial" w:hAnsi="Arial" w:cs="Arial"/>
        </w:rPr>
        <w:t>%</w:t>
      </w:r>
      <w:r w:rsidRPr="006E3280">
        <w:rPr>
          <w:rFonts w:ascii="Arial" w:hAnsi="Arial" w:cs="Arial"/>
        </w:rPr>
        <w:t xml:space="preserve"> </w:t>
      </w:r>
      <w:r w:rsidR="006E3280" w:rsidRPr="006E3280">
        <w:rPr>
          <w:rFonts w:ascii="Arial" w:hAnsi="Arial" w:cs="Arial"/>
        </w:rPr>
        <w:t>to</w:t>
      </w:r>
      <w:r w:rsidRPr="006E3280">
        <w:rPr>
          <w:rFonts w:ascii="Arial" w:hAnsi="Arial" w:cs="Arial"/>
        </w:rPr>
        <w:t xml:space="preserve"> R</w:t>
      </w:r>
      <w:r w:rsidR="00B079F4">
        <w:rPr>
          <w:rFonts w:ascii="Arial" w:hAnsi="Arial" w:cs="Arial"/>
        </w:rPr>
        <w:t xml:space="preserve"> </w:t>
      </w:r>
      <w:r w:rsidR="00BA4407">
        <w:rPr>
          <w:rFonts w:ascii="Arial" w:hAnsi="Arial" w:cs="Arial"/>
        </w:rPr>
        <w:t>1.1</w:t>
      </w:r>
      <w:r w:rsidR="00BB49DC">
        <w:rPr>
          <w:rFonts w:ascii="Arial" w:hAnsi="Arial" w:cs="Arial"/>
        </w:rPr>
        <w:t>43</w:t>
      </w:r>
      <w:r w:rsidR="00BA4407">
        <w:rPr>
          <w:rFonts w:ascii="Arial" w:hAnsi="Arial" w:cs="Arial"/>
        </w:rPr>
        <w:t xml:space="preserve"> b</w:t>
      </w:r>
      <w:r w:rsidR="00001868">
        <w:rPr>
          <w:rFonts w:ascii="Arial" w:hAnsi="Arial" w:cs="Arial"/>
        </w:rPr>
        <w:t>illion</w:t>
      </w:r>
      <w:r>
        <w:rPr>
          <w:rFonts w:ascii="Arial" w:hAnsi="Arial" w:cs="Arial"/>
        </w:rPr>
        <w:t xml:space="preserve"> for the </w:t>
      </w:r>
      <w:r w:rsidR="006706E5">
        <w:rPr>
          <w:rFonts w:ascii="Arial" w:hAnsi="Arial" w:cs="Arial"/>
        </w:rPr>
        <w:t>20</w:t>
      </w:r>
      <w:r w:rsidR="00BA4407">
        <w:rPr>
          <w:rFonts w:ascii="Arial" w:hAnsi="Arial" w:cs="Arial"/>
        </w:rPr>
        <w:t>20</w:t>
      </w:r>
      <w:r w:rsidR="006706E5">
        <w:rPr>
          <w:rFonts w:ascii="Arial" w:hAnsi="Arial" w:cs="Arial"/>
        </w:rPr>
        <w:t>/</w:t>
      </w:r>
      <w:r w:rsidR="004741ED">
        <w:rPr>
          <w:rFonts w:ascii="Arial" w:hAnsi="Arial" w:cs="Arial"/>
        </w:rPr>
        <w:t>2</w:t>
      </w:r>
      <w:r w:rsidR="00BA4407">
        <w:rPr>
          <w:rFonts w:ascii="Arial" w:hAnsi="Arial" w:cs="Arial"/>
        </w:rPr>
        <w:t>1</w:t>
      </w:r>
      <w:r>
        <w:rPr>
          <w:rFonts w:ascii="Arial" w:hAnsi="Arial" w:cs="Arial"/>
        </w:rPr>
        <w:t xml:space="preserve"> financial year when compared to the </w:t>
      </w:r>
      <w:r w:rsidR="006706E5">
        <w:rPr>
          <w:rFonts w:ascii="Arial" w:hAnsi="Arial" w:cs="Arial"/>
        </w:rPr>
        <w:t>201</w:t>
      </w:r>
      <w:r w:rsidR="00BA4407">
        <w:rPr>
          <w:rFonts w:ascii="Arial" w:hAnsi="Arial" w:cs="Arial"/>
        </w:rPr>
        <w:t>9</w:t>
      </w:r>
      <w:r w:rsidR="006706E5">
        <w:rPr>
          <w:rFonts w:ascii="Arial" w:hAnsi="Arial" w:cs="Arial"/>
        </w:rPr>
        <w:t>/</w:t>
      </w:r>
      <w:r w:rsidR="00BA4407">
        <w:rPr>
          <w:rFonts w:ascii="Arial" w:hAnsi="Arial" w:cs="Arial"/>
        </w:rPr>
        <w:t>20</w:t>
      </w:r>
      <w:r>
        <w:rPr>
          <w:rFonts w:ascii="Arial" w:hAnsi="Arial" w:cs="Arial"/>
        </w:rPr>
        <w:t xml:space="preserve"> </w:t>
      </w:r>
      <w:r w:rsidR="008D6147">
        <w:rPr>
          <w:rFonts w:ascii="Arial" w:hAnsi="Arial" w:cs="Arial"/>
        </w:rPr>
        <w:t>second</w:t>
      </w:r>
      <w:r w:rsidR="00B07F97">
        <w:rPr>
          <w:rFonts w:ascii="Arial" w:hAnsi="Arial" w:cs="Arial"/>
        </w:rPr>
        <w:t xml:space="preserve"> </w:t>
      </w:r>
      <w:r w:rsidR="00E230E7">
        <w:rPr>
          <w:rFonts w:ascii="Arial" w:hAnsi="Arial" w:cs="Arial"/>
        </w:rPr>
        <w:t>a</w:t>
      </w:r>
      <w:r>
        <w:rPr>
          <w:rFonts w:ascii="Arial" w:hAnsi="Arial" w:cs="Arial"/>
        </w:rPr>
        <w:t xml:space="preserve">djustment </w:t>
      </w:r>
      <w:r w:rsidR="00E230E7">
        <w:rPr>
          <w:rFonts w:ascii="Arial" w:hAnsi="Arial" w:cs="Arial"/>
        </w:rPr>
        <w:t>b</w:t>
      </w:r>
      <w:r>
        <w:rPr>
          <w:rFonts w:ascii="Arial" w:hAnsi="Arial" w:cs="Arial"/>
        </w:rPr>
        <w:t xml:space="preserve">udget. </w:t>
      </w:r>
      <w:r w:rsidR="006262FB">
        <w:rPr>
          <w:rFonts w:ascii="Arial" w:hAnsi="Arial" w:cs="Arial"/>
        </w:rPr>
        <w:t xml:space="preserve"> </w:t>
      </w:r>
      <w:r>
        <w:rPr>
          <w:rFonts w:ascii="Arial" w:hAnsi="Arial" w:cs="Arial"/>
        </w:rPr>
        <w:t>For the two outer years, operati</w:t>
      </w:r>
      <w:r w:rsidR="006324E0">
        <w:rPr>
          <w:rFonts w:ascii="Arial" w:hAnsi="Arial" w:cs="Arial"/>
        </w:rPr>
        <w:t>ng</w:t>
      </w:r>
      <w:r>
        <w:rPr>
          <w:rFonts w:ascii="Arial" w:hAnsi="Arial" w:cs="Arial"/>
        </w:rPr>
        <w:t xml:space="preserve"> revenue will </w:t>
      </w:r>
      <w:r w:rsidR="00E230E7">
        <w:rPr>
          <w:rFonts w:ascii="Arial" w:hAnsi="Arial" w:cs="Arial"/>
        </w:rPr>
        <w:t xml:space="preserve">increase by </w:t>
      </w:r>
      <w:r w:rsidR="00B07F97">
        <w:rPr>
          <w:rFonts w:ascii="Arial" w:hAnsi="Arial" w:cs="Arial"/>
        </w:rPr>
        <w:t>2</w:t>
      </w:r>
      <w:r w:rsidR="00B079F4">
        <w:rPr>
          <w:rFonts w:ascii="Arial" w:hAnsi="Arial" w:cs="Arial"/>
        </w:rPr>
        <w:t xml:space="preserve"> </w:t>
      </w:r>
      <w:r w:rsidR="00E230E7">
        <w:rPr>
          <w:rFonts w:ascii="Arial" w:hAnsi="Arial" w:cs="Arial"/>
        </w:rPr>
        <w:t xml:space="preserve">% and </w:t>
      </w:r>
      <w:r w:rsidR="00B07F97">
        <w:rPr>
          <w:rFonts w:ascii="Arial" w:hAnsi="Arial" w:cs="Arial"/>
        </w:rPr>
        <w:t>8</w:t>
      </w:r>
      <w:r w:rsidR="00B079F4">
        <w:rPr>
          <w:rFonts w:ascii="Arial" w:hAnsi="Arial" w:cs="Arial"/>
        </w:rPr>
        <w:t xml:space="preserve"> </w:t>
      </w:r>
      <w:r w:rsidR="00E230E7">
        <w:rPr>
          <w:rFonts w:ascii="Arial" w:hAnsi="Arial" w:cs="Arial"/>
        </w:rPr>
        <w:t>% respectively.</w:t>
      </w:r>
    </w:p>
    <w:p w:rsidR="00E230E7" w:rsidRDefault="00E230E7" w:rsidP="00387B6B">
      <w:pPr>
        <w:spacing w:after="0" w:line="360" w:lineRule="auto"/>
        <w:jc w:val="both"/>
        <w:rPr>
          <w:rFonts w:ascii="Arial" w:hAnsi="Arial" w:cs="Arial"/>
        </w:rPr>
      </w:pPr>
    </w:p>
    <w:p w:rsidR="0083224D" w:rsidRDefault="00904C95" w:rsidP="00387B6B">
      <w:pPr>
        <w:spacing w:after="0" w:line="360" w:lineRule="auto"/>
        <w:jc w:val="both"/>
        <w:rPr>
          <w:rFonts w:ascii="Arial" w:hAnsi="Arial" w:cs="Arial"/>
        </w:rPr>
      </w:pPr>
      <w:r>
        <w:rPr>
          <w:rFonts w:ascii="Arial" w:hAnsi="Arial" w:cs="Arial"/>
        </w:rPr>
        <w:t xml:space="preserve">Total operating expenditure for the </w:t>
      </w:r>
      <w:r w:rsidR="00E47C00">
        <w:rPr>
          <w:rFonts w:ascii="Arial" w:hAnsi="Arial" w:cs="Arial"/>
        </w:rPr>
        <w:t>20</w:t>
      </w:r>
      <w:r w:rsidR="00BA4407">
        <w:rPr>
          <w:rFonts w:ascii="Arial" w:hAnsi="Arial" w:cs="Arial"/>
        </w:rPr>
        <w:t>20</w:t>
      </w:r>
      <w:r w:rsidR="00AC78A0">
        <w:rPr>
          <w:rFonts w:ascii="Arial" w:hAnsi="Arial" w:cs="Arial"/>
        </w:rPr>
        <w:t>/</w:t>
      </w:r>
      <w:r w:rsidR="004741ED">
        <w:rPr>
          <w:rFonts w:ascii="Arial" w:hAnsi="Arial" w:cs="Arial"/>
        </w:rPr>
        <w:t>2</w:t>
      </w:r>
      <w:r w:rsidR="00BA4407">
        <w:rPr>
          <w:rFonts w:ascii="Arial" w:hAnsi="Arial" w:cs="Arial"/>
        </w:rPr>
        <w:t>1</w:t>
      </w:r>
      <w:r>
        <w:rPr>
          <w:rFonts w:ascii="Arial" w:hAnsi="Arial" w:cs="Arial"/>
        </w:rPr>
        <w:t xml:space="preserve"> financial year has</w:t>
      </w:r>
      <w:r w:rsidR="000E2D51">
        <w:rPr>
          <w:rFonts w:ascii="Arial" w:hAnsi="Arial" w:cs="Arial"/>
        </w:rPr>
        <w:t xml:space="preserve"> been</w:t>
      </w:r>
      <w:r w:rsidR="00410D4E">
        <w:rPr>
          <w:rFonts w:ascii="Arial" w:hAnsi="Arial" w:cs="Arial"/>
        </w:rPr>
        <w:t xml:space="preserve"> appropriated at R</w:t>
      </w:r>
      <w:r w:rsidR="00B079F4">
        <w:rPr>
          <w:rFonts w:ascii="Arial" w:hAnsi="Arial" w:cs="Arial"/>
        </w:rPr>
        <w:t xml:space="preserve"> </w:t>
      </w:r>
      <w:r w:rsidR="00A314D5" w:rsidRPr="00A307F9">
        <w:rPr>
          <w:rFonts w:ascii="Arial" w:hAnsi="Arial" w:cs="Arial"/>
        </w:rPr>
        <w:t>1</w:t>
      </w:r>
      <w:r w:rsidR="00E230E7" w:rsidRPr="00A307F9">
        <w:rPr>
          <w:rFonts w:ascii="Arial" w:hAnsi="Arial" w:cs="Arial"/>
        </w:rPr>
        <w:t>,</w:t>
      </w:r>
      <w:r w:rsidR="006F14B1">
        <w:rPr>
          <w:rFonts w:ascii="Arial" w:hAnsi="Arial" w:cs="Arial"/>
        </w:rPr>
        <w:t>044</w:t>
      </w:r>
      <w:r w:rsidR="00AC78A0" w:rsidRPr="004741ED">
        <w:rPr>
          <w:rFonts w:ascii="Arial" w:hAnsi="Arial" w:cs="Arial"/>
          <w:color w:val="FF0000"/>
        </w:rPr>
        <w:t xml:space="preserve"> </w:t>
      </w:r>
      <w:r w:rsidR="00622B27">
        <w:rPr>
          <w:rFonts w:ascii="Arial" w:hAnsi="Arial" w:cs="Arial"/>
        </w:rPr>
        <w:t>b</w:t>
      </w:r>
      <w:r w:rsidR="00AC78A0">
        <w:rPr>
          <w:rFonts w:ascii="Arial" w:hAnsi="Arial" w:cs="Arial"/>
        </w:rPr>
        <w:t>illion</w:t>
      </w:r>
      <w:r>
        <w:rPr>
          <w:rFonts w:ascii="Arial" w:hAnsi="Arial" w:cs="Arial"/>
        </w:rPr>
        <w:t xml:space="preserve"> and translates into a budgeted </w:t>
      </w:r>
      <w:r w:rsidR="00E230E7">
        <w:rPr>
          <w:rFonts w:ascii="Arial" w:hAnsi="Arial" w:cs="Arial"/>
        </w:rPr>
        <w:t xml:space="preserve">operating </w:t>
      </w:r>
      <w:r w:rsidR="00BA4407">
        <w:rPr>
          <w:rFonts w:ascii="Arial" w:hAnsi="Arial" w:cs="Arial"/>
        </w:rPr>
        <w:t xml:space="preserve">surplus </w:t>
      </w:r>
      <w:r>
        <w:rPr>
          <w:rFonts w:ascii="Arial" w:hAnsi="Arial" w:cs="Arial"/>
        </w:rPr>
        <w:t>of R</w:t>
      </w:r>
      <w:r w:rsidR="00B079F4">
        <w:rPr>
          <w:rFonts w:ascii="Arial" w:hAnsi="Arial" w:cs="Arial"/>
        </w:rPr>
        <w:t xml:space="preserve"> </w:t>
      </w:r>
      <w:r w:rsidR="006F14B1">
        <w:rPr>
          <w:rFonts w:ascii="Arial" w:hAnsi="Arial" w:cs="Arial"/>
        </w:rPr>
        <w:t>98</w:t>
      </w:r>
      <w:r w:rsidR="00BA4407">
        <w:rPr>
          <w:rFonts w:ascii="Arial" w:hAnsi="Arial" w:cs="Arial"/>
        </w:rPr>
        <w:t>.</w:t>
      </w:r>
      <w:r w:rsidR="006F14B1">
        <w:rPr>
          <w:rFonts w:ascii="Arial" w:hAnsi="Arial" w:cs="Arial"/>
        </w:rPr>
        <w:t>6</w:t>
      </w:r>
      <w:r w:rsidR="00BA4407">
        <w:rPr>
          <w:rFonts w:ascii="Arial" w:hAnsi="Arial" w:cs="Arial"/>
        </w:rPr>
        <w:t xml:space="preserve"> </w:t>
      </w:r>
      <w:r w:rsidR="00E230E7">
        <w:rPr>
          <w:rFonts w:ascii="Arial" w:hAnsi="Arial" w:cs="Arial"/>
        </w:rPr>
        <w:t>million, w</w:t>
      </w:r>
      <w:r>
        <w:rPr>
          <w:rFonts w:ascii="Arial" w:hAnsi="Arial" w:cs="Arial"/>
        </w:rPr>
        <w:t xml:space="preserve">hen compared to the </w:t>
      </w:r>
      <w:r w:rsidR="006706E5">
        <w:rPr>
          <w:rFonts w:ascii="Arial" w:hAnsi="Arial" w:cs="Arial"/>
        </w:rPr>
        <w:t>201</w:t>
      </w:r>
      <w:r w:rsidR="00BA4407">
        <w:rPr>
          <w:rFonts w:ascii="Arial" w:hAnsi="Arial" w:cs="Arial"/>
        </w:rPr>
        <w:t>9</w:t>
      </w:r>
      <w:r w:rsidR="006706E5">
        <w:rPr>
          <w:rFonts w:ascii="Arial" w:hAnsi="Arial" w:cs="Arial"/>
        </w:rPr>
        <w:t>/</w:t>
      </w:r>
      <w:r w:rsidR="00BA4407">
        <w:rPr>
          <w:rFonts w:ascii="Arial" w:hAnsi="Arial" w:cs="Arial"/>
        </w:rPr>
        <w:t>20</w:t>
      </w:r>
      <w:r>
        <w:rPr>
          <w:rFonts w:ascii="Arial" w:hAnsi="Arial" w:cs="Arial"/>
        </w:rPr>
        <w:t xml:space="preserve"> </w:t>
      </w:r>
      <w:r w:rsidR="008D6147">
        <w:rPr>
          <w:rFonts w:ascii="Arial" w:hAnsi="Arial" w:cs="Arial"/>
        </w:rPr>
        <w:t>second</w:t>
      </w:r>
      <w:r w:rsidR="00BA4407">
        <w:rPr>
          <w:rFonts w:ascii="Arial" w:hAnsi="Arial" w:cs="Arial"/>
        </w:rPr>
        <w:t xml:space="preserve"> </w:t>
      </w:r>
      <w:r w:rsidR="00E230E7">
        <w:rPr>
          <w:rFonts w:ascii="Arial" w:hAnsi="Arial" w:cs="Arial"/>
        </w:rPr>
        <w:t>adjustment b</w:t>
      </w:r>
      <w:r>
        <w:rPr>
          <w:rFonts w:ascii="Arial" w:hAnsi="Arial" w:cs="Arial"/>
        </w:rPr>
        <w:t>udget</w:t>
      </w:r>
      <w:r w:rsidR="000E2D51">
        <w:rPr>
          <w:rFonts w:ascii="Arial" w:hAnsi="Arial" w:cs="Arial"/>
        </w:rPr>
        <w:t>,</w:t>
      </w:r>
      <w:r>
        <w:rPr>
          <w:rFonts w:ascii="Arial" w:hAnsi="Arial" w:cs="Arial"/>
        </w:rPr>
        <w:t xml:space="preserve"> operational expenditure has</w:t>
      </w:r>
      <w:r w:rsidR="00622B27">
        <w:rPr>
          <w:rFonts w:ascii="Arial" w:hAnsi="Arial" w:cs="Arial"/>
        </w:rPr>
        <w:t xml:space="preserve"> </w:t>
      </w:r>
      <w:r w:rsidR="00E230E7">
        <w:rPr>
          <w:rFonts w:ascii="Arial" w:hAnsi="Arial" w:cs="Arial"/>
        </w:rPr>
        <w:t xml:space="preserve">decreased by </w:t>
      </w:r>
      <w:r w:rsidR="006F14B1">
        <w:rPr>
          <w:rFonts w:ascii="Arial" w:hAnsi="Arial" w:cs="Arial"/>
        </w:rPr>
        <w:t>7.8</w:t>
      </w:r>
      <w:r w:rsidR="00B079F4" w:rsidRPr="00B079F4">
        <w:rPr>
          <w:rFonts w:ascii="Arial" w:hAnsi="Arial" w:cs="Arial"/>
        </w:rPr>
        <w:t xml:space="preserve"> </w:t>
      </w:r>
      <w:r w:rsidR="00E230E7">
        <w:rPr>
          <w:rFonts w:ascii="Arial" w:hAnsi="Arial" w:cs="Arial"/>
        </w:rPr>
        <w:t xml:space="preserve">% </w:t>
      </w:r>
      <w:r>
        <w:rPr>
          <w:rFonts w:ascii="Arial" w:hAnsi="Arial" w:cs="Arial"/>
        </w:rPr>
        <w:t xml:space="preserve">in </w:t>
      </w:r>
      <w:r w:rsidR="00AE6255">
        <w:rPr>
          <w:rFonts w:ascii="Arial" w:hAnsi="Arial" w:cs="Arial"/>
        </w:rPr>
        <w:t xml:space="preserve">the </w:t>
      </w:r>
      <w:r w:rsidR="00E47C00" w:rsidRPr="00FB5843">
        <w:rPr>
          <w:rFonts w:ascii="Arial" w:hAnsi="Arial" w:cs="Arial"/>
        </w:rPr>
        <w:t>20</w:t>
      </w:r>
      <w:r w:rsidR="00BA4407">
        <w:rPr>
          <w:rFonts w:ascii="Arial" w:hAnsi="Arial" w:cs="Arial"/>
        </w:rPr>
        <w:t>20</w:t>
      </w:r>
      <w:r w:rsidR="00E47C00" w:rsidRPr="00FB5843">
        <w:rPr>
          <w:rFonts w:ascii="Arial" w:hAnsi="Arial" w:cs="Arial"/>
        </w:rPr>
        <w:t>/</w:t>
      </w:r>
      <w:r w:rsidR="004741ED">
        <w:rPr>
          <w:rFonts w:ascii="Arial" w:hAnsi="Arial" w:cs="Arial"/>
        </w:rPr>
        <w:t>2</w:t>
      </w:r>
      <w:r w:rsidR="00BA4407">
        <w:rPr>
          <w:rFonts w:ascii="Arial" w:hAnsi="Arial" w:cs="Arial"/>
        </w:rPr>
        <w:t>1</w:t>
      </w:r>
      <w:r w:rsidR="00A314D5">
        <w:rPr>
          <w:rFonts w:ascii="Arial" w:hAnsi="Arial" w:cs="Arial"/>
        </w:rPr>
        <w:t xml:space="preserve"> </w:t>
      </w:r>
      <w:r w:rsidR="006F14B1">
        <w:rPr>
          <w:rFonts w:ascii="Arial" w:hAnsi="Arial" w:cs="Arial"/>
        </w:rPr>
        <w:t>final</w:t>
      </w:r>
      <w:r w:rsidR="00AE6255" w:rsidRPr="004903DB">
        <w:rPr>
          <w:rFonts w:ascii="Arial" w:hAnsi="Arial" w:cs="Arial"/>
          <w:color w:val="FF0000"/>
        </w:rPr>
        <w:t xml:space="preserve"> </w:t>
      </w:r>
      <w:r>
        <w:rPr>
          <w:rFonts w:ascii="Arial" w:hAnsi="Arial" w:cs="Arial"/>
        </w:rPr>
        <w:t xml:space="preserve">budget </w:t>
      </w:r>
      <w:r w:rsidRPr="0068661E">
        <w:rPr>
          <w:rFonts w:ascii="Arial" w:hAnsi="Arial" w:cs="Arial"/>
        </w:rPr>
        <w:t xml:space="preserve">and </w:t>
      </w:r>
      <w:r w:rsidR="00E230E7">
        <w:rPr>
          <w:rFonts w:ascii="Arial" w:hAnsi="Arial" w:cs="Arial"/>
        </w:rPr>
        <w:t xml:space="preserve">has increased </w:t>
      </w:r>
      <w:r w:rsidRPr="00A314D5">
        <w:rPr>
          <w:rFonts w:ascii="Arial" w:hAnsi="Arial" w:cs="Arial"/>
        </w:rPr>
        <w:t xml:space="preserve">by </w:t>
      </w:r>
      <w:r w:rsidR="00217888">
        <w:rPr>
          <w:rFonts w:ascii="Arial" w:hAnsi="Arial" w:cs="Arial"/>
        </w:rPr>
        <w:t>0.5</w:t>
      </w:r>
      <w:r w:rsidR="00877577">
        <w:rPr>
          <w:rFonts w:ascii="Arial" w:hAnsi="Arial" w:cs="Arial"/>
        </w:rPr>
        <w:t xml:space="preserve"> </w:t>
      </w:r>
      <w:r w:rsidR="005E5C22">
        <w:rPr>
          <w:rFonts w:ascii="Arial" w:hAnsi="Arial" w:cs="Arial"/>
        </w:rPr>
        <w:t>%</w:t>
      </w:r>
      <w:r w:rsidR="00217888">
        <w:rPr>
          <w:rFonts w:ascii="Arial" w:hAnsi="Arial" w:cs="Arial"/>
        </w:rPr>
        <w:t xml:space="preserve"> and 8.</w:t>
      </w:r>
      <w:r w:rsidR="009932DF">
        <w:rPr>
          <w:rFonts w:ascii="Arial" w:hAnsi="Arial" w:cs="Arial"/>
        </w:rPr>
        <w:t>1</w:t>
      </w:r>
      <w:r w:rsidR="00217888">
        <w:rPr>
          <w:rFonts w:ascii="Arial" w:hAnsi="Arial" w:cs="Arial"/>
        </w:rPr>
        <w:t xml:space="preserve"> %</w:t>
      </w:r>
      <w:r w:rsidR="005E5C22">
        <w:rPr>
          <w:rFonts w:ascii="Arial" w:hAnsi="Arial" w:cs="Arial"/>
        </w:rPr>
        <w:t xml:space="preserve"> in </w:t>
      </w:r>
      <w:r w:rsidR="00FB5843" w:rsidRPr="00A314D5">
        <w:rPr>
          <w:rFonts w:ascii="Arial" w:hAnsi="Arial" w:cs="Arial"/>
        </w:rPr>
        <w:t>20</w:t>
      </w:r>
      <w:r w:rsidR="004741ED">
        <w:rPr>
          <w:rFonts w:ascii="Arial" w:hAnsi="Arial" w:cs="Arial"/>
        </w:rPr>
        <w:t>2</w:t>
      </w:r>
      <w:r w:rsidR="00BA4407">
        <w:rPr>
          <w:rFonts w:ascii="Arial" w:hAnsi="Arial" w:cs="Arial"/>
        </w:rPr>
        <w:t>1</w:t>
      </w:r>
      <w:r w:rsidR="00FB5843" w:rsidRPr="00A314D5">
        <w:rPr>
          <w:rFonts w:ascii="Arial" w:hAnsi="Arial" w:cs="Arial"/>
        </w:rPr>
        <w:t>/</w:t>
      </w:r>
      <w:r w:rsidR="004741ED">
        <w:rPr>
          <w:rFonts w:ascii="Arial" w:hAnsi="Arial" w:cs="Arial"/>
        </w:rPr>
        <w:t>2</w:t>
      </w:r>
      <w:r w:rsidR="00BA4407">
        <w:rPr>
          <w:rFonts w:ascii="Arial" w:hAnsi="Arial" w:cs="Arial"/>
        </w:rPr>
        <w:t>2</w:t>
      </w:r>
      <w:r w:rsidR="00FB5843" w:rsidRPr="00A314D5">
        <w:rPr>
          <w:rFonts w:ascii="Arial" w:hAnsi="Arial" w:cs="Arial"/>
        </w:rPr>
        <w:t xml:space="preserve"> </w:t>
      </w:r>
      <w:r w:rsidR="00622B27">
        <w:rPr>
          <w:rFonts w:ascii="Arial" w:hAnsi="Arial" w:cs="Arial"/>
        </w:rPr>
        <w:t xml:space="preserve">and </w:t>
      </w:r>
      <w:r w:rsidR="00FB5843">
        <w:rPr>
          <w:rFonts w:ascii="Arial" w:hAnsi="Arial" w:cs="Arial"/>
        </w:rPr>
        <w:t>20</w:t>
      </w:r>
      <w:r w:rsidR="00B079F4">
        <w:rPr>
          <w:rFonts w:ascii="Arial" w:hAnsi="Arial" w:cs="Arial"/>
        </w:rPr>
        <w:t>2</w:t>
      </w:r>
      <w:r w:rsidR="00BA4407">
        <w:rPr>
          <w:rFonts w:ascii="Arial" w:hAnsi="Arial" w:cs="Arial"/>
        </w:rPr>
        <w:t>2</w:t>
      </w:r>
      <w:r w:rsidR="00FB5843">
        <w:rPr>
          <w:rFonts w:ascii="Arial" w:hAnsi="Arial" w:cs="Arial"/>
        </w:rPr>
        <w:t>/</w:t>
      </w:r>
      <w:r w:rsidR="00622B27">
        <w:rPr>
          <w:rFonts w:ascii="Arial" w:hAnsi="Arial" w:cs="Arial"/>
        </w:rPr>
        <w:t>2</w:t>
      </w:r>
      <w:r w:rsidR="00BA4407">
        <w:rPr>
          <w:rFonts w:ascii="Arial" w:hAnsi="Arial" w:cs="Arial"/>
        </w:rPr>
        <w:t>3</w:t>
      </w:r>
      <w:r w:rsidR="00896D19">
        <w:rPr>
          <w:rFonts w:ascii="Arial" w:hAnsi="Arial" w:cs="Arial"/>
        </w:rPr>
        <w:t xml:space="preserve"> respectively</w:t>
      </w:r>
      <w:r w:rsidR="006324E0">
        <w:rPr>
          <w:rFonts w:ascii="Arial" w:hAnsi="Arial" w:cs="Arial"/>
        </w:rPr>
        <w:t xml:space="preserve">. </w:t>
      </w:r>
      <w:r w:rsidR="0083224D" w:rsidRPr="0068661E">
        <w:rPr>
          <w:rFonts w:ascii="Arial" w:hAnsi="Arial" w:cs="Arial"/>
        </w:rPr>
        <w:t xml:space="preserve">The operating </w:t>
      </w:r>
      <w:r w:rsidR="00217888">
        <w:rPr>
          <w:rFonts w:ascii="Arial" w:hAnsi="Arial" w:cs="Arial"/>
        </w:rPr>
        <w:t xml:space="preserve">surplus </w:t>
      </w:r>
      <w:r w:rsidR="0083224D" w:rsidRPr="0068661E">
        <w:rPr>
          <w:rFonts w:ascii="Arial" w:hAnsi="Arial" w:cs="Arial"/>
        </w:rPr>
        <w:t xml:space="preserve">for the two outer years </w:t>
      </w:r>
      <w:r w:rsidR="00532203">
        <w:rPr>
          <w:rFonts w:ascii="Arial" w:hAnsi="Arial" w:cs="Arial"/>
        </w:rPr>
        <w:t>dras</w:t>
      </w:r>
      <w:r w:rsidR="00532203" w:rsidRPr="0068661E">
        <w:rPr>
          <w:rFonts w:ascii="Arial" w:hAnsi="Arial" w:cs="Arial"/>
        </w:rPr>
        <w:t>t</w:t>
      </w:r>
      <w:r w:rsidR="00532203">
        <w:rPr>
          <w:rFonts w:ascii="Arial" w:hAnsi="Arial" w:cs="Arial"/>
        </w:rPr>
        <w:t>ica</w:t>
      </w:r>
      <w:r w:rsidR="00532203" w:rsidRPr="0068661E">
        <w:rPr>
          <w:rFonts w:ascii="Arial" w:hAnsi="Arial" w:cs="Arial"/>
        </w:rPr>
        <w:t>lly</w:t>
      </w:r>
      <w:r w:rsidR="0083224D" w:rsidRPr="0068661E">
        <w:rPr>
          <w:rFonts w:ascii="Arial" w:hAnsi="Arial" w:cs="Arial"/>
        </w:rPr>
        <w:t xml:space="preserve"> </w:t>
      </w:r>
      <w:r w:rsidR="00662515">
        <w:rPr>
          <w:rFonts w:ascii="Arial" w:hAnsi="Arial" w:cs="Arial"/>
        </w:rPr>
        <w:t>increases</w:t>
      </w:r>
      <w:r w:rsidR="0083224D" w:rsidRPr="0068661E">
        <w:rPr>
          <w:rFonts w:ascii="Arial" w:hAnsi="Arial" w:cs="Arial"/>
        </w:rPr>
        <w:t xml:space="preserve"> </w:t>
      </w:r>
      <w:r w:rsidR="00B57411">
        <w:rPr>
          <w:rFonts w:ascii="Arial" w:hAnsi="Arial" w:cs="Arial"/>
        </w:rPr>
        <w:t xml:space="preserve">from </w:t>
      </w:r>
      <w:r w:rsidR="0083224D" w:rsidRPr="0068661E">
        <w:rPr>
          <w:rFonts w:ascii="Arial" w:hAnsi="Arial" w:cs="Arial"/>
        </w:rPr>
        <w:t>R</w:t>
      </w:r>
      <w:r w:rsidR="009932DF">
        <w:rPr>
          <w:rFonts w:ascii="Arial" w:hAnsi="Arial" w:cs="Arial"/>
        </w:rPr>
        <w:t xml:space="preserve"> 98</w:t>
      </w:r>
      <w:r w:rsidR="00051A7B">
        <w:rPr>
          <w:rFonts w:ascii="Arial" w:hAnsi="Arial" w:cs="Arial"/>
        </w:rPr>
        <w:t>.</w:t>
      </w:r>
      <w:r w:rsidR="009932DF">
        <w:rPr>
          <w:rFonts w:ascii="Arial" w:hAnsi="Arial" w:cs="Arial"/>
        </w:rPr>
        <w:t>6</w:t>
      </w:r>
      <w:r w:rsidR="0083224D" w:rsidRPr="00AB5FEF">
        <w:rPr>
          <w:rFonts w:ascii="Arial" w:hAnsi="Arial" w:cs="Arial"/>
          <w:color w:val="FF0000"/>
        </w:rPr>
        <w:t xml:space="preserve"> </w:t>
      </w:r>
      <w:r w:rsidR="0083224D" w:rsidRPr="0068661E">
        <w:rPr>
          <w:rFonts w:ascii="Arial" w:hAnsi="Arial" w:cs="Arial"/>
        </w:rPr>
        <w:t>million</w:t>
      </w:r>
      <w:r w:rsidR="00084AEE">
        <w:rPr>
          <w:rFonts w:ascii="Arial" w:hAnsi="Arial" w:cs="Arial"/>
        </w:rPr>
        <w:t xml:space="preserve"> in </w:t>
      </w:r>
      <w:r w:rsidR="00A307F9">
        <w:rPr>
          <w:rFonts w:ascii="Arial" w:hAnsi="Arial" w:cs="Arial"/>
        </w:rPr>
        <w:t xml:space="preserve">the </w:t>
      </w:r>
      <w:r w:rsidR="00084AEE">
        <w:rPr>
          <w:rFonts w:ascii="Arial" w:hAnsi="Arial" w:cs="Arial"/>
        </w:rPr>
        <w:t xml:space="preserve">current budget year to </w:t>
      </w:r>
      <w:r w:rsidR="00793A46" w:rsidRPr="0068661E">
        <w:rPr>
          <w:rFonts w:ascii="Arial" w:hAnsi="Arial" w:cs="Arial"/>
        </w:rPr>
        <w:t>R</w:t>
      </w:r>
      <w:r w:rsidR="00B079F4">
        <w:rPr>
          <w:rFonts w:ascii="Arial" w:hAnsi="Arial" w:cs="Arial"/>
        </w:rPr>
        <w:t xml:space="preserve"> </w:t>
      </w:r>
      <w:r w:rsidR="009932DF">
        <w:rPr>
          <w:rFonts w:ascii="Arial" w:hAnsi="Arial" w:cs="Arial"/>
        </w:rPr>
        <w:t>117.8</w:t>
      </w:r>
      <w:r w:rsidR="00E37304" w:rsidRPr="00AB5FEF">
        <w:rPr>
          <w:rFonts w:ascii="Arial" w:hAnsi="Arial" w:cs="Arial"/>
          <w:color w:val="FF0000"/>
        </w:rPr>
        <w:t xml:space="preserve"> </w:t>
      </w:r>
      <w:r w:rsidR="00E37304">
        <w:rPr>
          <w:rFonts w:ascii="Arial" w:hAnsi="Arial" w:cs="Arial"/>
        </w:rPr>
        <w:t>million and R</w:t>
      </w:r>
      <w:r w:rsidR="00B079F4">
        <w:rPr>
          <w:rFonts w:ascii="Arial" w:hAnsi="Arial" w:cs="Arial"/>
        </w:rPr>
        <w:t xml:space="preserve"> </w:t>
      </w:r>
      <w:r w:rsidR="009932DF">
        <w:rPr>
          <w:rFonts w:ascii="Arial" w:hAnsi="Arial" w:cs="Arial"/>
        </w:rPr>
        <w:t>134</w:t>
      </w:r>
      <w:r w:rsidR="00896D19">
        <w:rPr>
          <w:rFonts w:ascii="Arial" w:hAnsi="Arial" w:cs="Arial"/>
        </w:rPr>
        <w:t>.</w:t>
      </w:r>
      <w:r w:rsidR="009932DF">
        <w:rPr>
          <w:rFonts w:ascii="Arial" w:hAnsi="Arial" w:cs="Arial"/>
        </w:rPr>
        <w:t>0</w:t>
      </w:r>
      <w:r w:rsidR="00E37304" w:rsidRPr="00AB5FEF">
        <w:rPr>
          <w:rFonts w:ascii="Arial" w:hAnsi="Arial" w:cs="Arial"/>
          <w:color w:val="FF0000"/>
        </w:rPr>
        <w:t xml:space="preserve"> </w:t>
      </w:r>
      <w:r w:rsidR="00793A46" w:rsidRPr="0068661E">
        <w:rPr>
          <w:rFonts w:ascii="Arial" w:hAnsi="Arial" w:cs="Arial"/>
        </w:rPr>
        <w:t>million</w:t>
      </w:r>
      <w:r w:rsidR="00532203">
        <w:rPr>
          <w:rFonts w:ascii="Arial" w:hAnsi="Arial" w:cs="Arial"/>
        </w:rPr>
        <w:t xml:space="preserve"> respectively</w:t>
      </w:r>
      <w:r w:rsidR="00084AEE">
        <w:rPr>
          <w:rFonts w:ascii="Arial" w:hAnsi="Arial" w:cs="Arial"/>
        </w:rPr>
        <w:t xml:space="preserve"> in the t</w:t>
      </w:r>
      <w:r w:rsidR="00E37304">
        <w:rPr>
          <w:rFonts w:ascii="Arial" w:hAnsi="Arial" w:cs="Arial"/>
        </w:rPr>
        <w:t>wo</w:t>
      </w:r>
      <w:r w:rsidR="00084AEE">
        <w:rPr>
          <w:rFonts w:ascii="Arial" w:hAnsi="Arial" w:cs="Arial"/>
        </w:rPr>
        <w:t xml:space="preserve"> outer year</w:t>
      </w:r>
      <w:r w:rsidR="00051A7B">
        <w:rPr>
          <w:rFonts w:ascii="Arial" w:hAnsi="Arial" w:cs="Arial"/>
        </w:rPr>
        <w:t>s</w:t>
      </w:r>
      <w:r w:rsidR="00AE6255" w:rsidRPr="0068661E">
        <w:rPr>
          <w:rFonts w:ascii="Arial" w:hAnsi="Arial" w:cs="Arial"/>
        </w:rPr>
        <w:t xml:space="preserve">.  These </w:t>
      </w:r>
      <w:r w:rsidR="00051A7B">
        <w:rPr>
          <w:rFonts w:ascii="Arial" w:hAnsi="Arial" w:cs="Arial"/>
        </w:rPr>
        <w:t>low surplus levels</w:t>
      </w:r>
      <w:r w:rsidR="00AC78A0">
        <w:rPr>
          <w:rFonts w:ascii="Arial" w:hAnsi="Arial" w:cs="Arial"/>
        </w:rPr>
        <w:t xml:space="preserve"> indicate that the municipality has to increase own revenue</w:t>
      </w:r>
      <w:r w:rsidR="00084AEE">
        <w:rPr>
          <w:rFonts w:ascii="Arial" w:hAnsi="Arial" w:cs="Arial"/>
        </w:rPr>
        <w:t xml:space="preserve"> base</w:t>
      </w:r>
      <w:r w:rsidR="00AC78A0">
        <w:rPr>
          <w:rFonts w:ascii="Arial" w:hAnsi="Arial" w:cs="Arial"/>
        </w:rPr>
        <w:t xml:space="preserve"> from the water</w:t>
      </w:r>
      <w:r w:rsidR="006324E0">
        <w:rPr>
          <w:rFonts w:ascii="Arial" w:hAnsi="Arial" w:cs="Arial"/>
        </w:rPr>
        <w:t xml:space="preserve"> and sanitation</w:t>
      </w:r>
      <w:r w:rsidR="00850FB2">
        <w:rPr>
          <w:rFonts w:ascii="Arial" w:hAnsi="Arial" w:cs="Arial"/>
        </w:rPr>
        <w:t xml:space="preserve"> services to </w:t>
      </w:r>
      <w:r w:rsidR="00051A7B">
        <w:rPr>
          <w:rFonts w:ascii="Arial" w:hAnsi="Arial" w:cs="Arial"/>
        </w:rPr>
        <w:t>sustain the financial stability of the municipality</w:t>
      </w:r>
      <w:r w:rsidR="00850FB2">
        <w:rPr>
          <w:rFonts w:ascii="Arial" w:hAnsi="Arial" w:cs="Arial"/>
        </w:rPr>
        <w:t>.</w:t>
      </w:r>
    </w:p>
    <w:p w:rsidR="000834F1" w:rsidRDefault="000834F1" w:rsidP="00387B6B">
      <w:pPr>
        <w:spacing w:after="0" w:line="360" w:lineRule="auto"/>
        <w:jc w:val="both"/>
        <w:rPr>
          <w:rFonts w:ascii="Arial" w:hAnsi="Arial" w:cs="Arial"/>
        </w:rPr>
      </w:pPr>
    </w:p>
    <w:p w:rsidR="00D81FBC" w:rsidRDefault="0083224D" w:rsidP="00387B6B">
      <w:pPr>
        <w:spacing w:after="0" w:line="360" w:lineRule="auto"/>
        <w:jc w:val="both"/>
        <w:rPr>
          <w:rFonts w:ascii="Arial" w:hAnsi="Arial" w:cs="Arial"/>
        </w:rPr>
      </w:pPr>
      <w:r w:rsidRPr="00A635A7">
        <w:rPr>
          <w:rFonts w:ascii="Arial" w:hAnsi="Arial" w:cs="Arial"/>
        </w:rPr>
        <w:t>The capital budget</w:t>
      </w:r>
      <w:r w:rsidRPr="0068661E">
        <w:rPr>
          <w:rFonts w:ascii="Arial" w:hAnsi="Arial" w:cs="Arial"/>
        </w:rPr>
        <w:t xml:space="preserve"> </w:t>
      </w:r>
      <w:r w:rsidR="006262FB" w:rsidRPr="0068661E">
        <w:rPr>
          <w:rFonts w:ascii="Arial" w:hAnsi="Arial" w:cs="Arial"/>
        </w:rPr>
        <w:t>of R</w:t>
      </w:r>
      <w:r w:rsidR="00877577">
        <w:rPr>
          <w:rFonts w:ascii="Arial" w:hAnsi="Arial" w:cs="Arial"/>
        </w:rPr>
        <w:t xml:space="preserve"> </w:t>
      </w:r>
      <w:r w:rsidR="00051A7B">
        <w:rPr>
          <w:rFonts w:ascii="Arial" w:hAnsi="Arial" w:cs="Arial"/>
        </w:rPr>
        <w:t>6</w:t>
      </w:r>
      <w:r w:rsidR="00A307F9">
        <w:rPr>
          <w:rFonts w:ascii="Arial" w:hAnsi="Arial" w:cs="Arial"/>
        </w:rPr>
        <w:t>2</w:t>
      </w:r>
      <w:r w:rsidR="00051A7B">
        <w:rPr>
          <w:rFonts w:ascii="Arial" w:hAnsi="Arial" w:cs="Arial"/>
        </w:rPr>
        <w:t>0</w:t>
      </w:r>
      <w:r w:rsidR="00A307F9">
        <w:rPr>
          <w:rFonts w:ascii="Arial" w:hAnsi="Arial" w:cs="Arial"/>
        </w:rPr>
        <w:t>.</w:t>
      </w:r>
      <w:r w:rsidR="00051A7B">
        <w:rPr>
          <w:rFonts w:ascii="Arial" w:hAnsi="Arial" w:cs="Arial"/>
        </w:rPr>
        <w:t>5</w:t>
      </w:r>
      <w:r w:rsidR="00084AEE" w:rsidRPr="00FE6605">
        <w:rPr>
          <w:rFonts w:ascii="Arial" w:hAnsi="Arial" w:cs="Arial"/>
          <w:color w:val="FF0000"/>
        </w:rPr>
        <w:t xml:space="preserve"> </w:t>
      </w:r>
      <w:r w:rsidR="00B766C6" w:rsidRPr="0068661E">
        <w:rPr>
          <w:rFonts w:ascii="Arial" w:hAnsi="Arial" w:cs="Arial"/>
        </w:rPr>
        <w:t>m</w:t>
      </w:r>
      <w:r w:rsidR="006262FB" w:rsidRPr="0068661E">
        <w:rPr>
          <w:rFonts w:ascii="Arial" w:hAnsi="Arial" w:cs="Arial"/>
        </w:rPr>
        <w:t xml:space="preserve">illion for </w:t>
      </w:r>
      <w:r w:rsidR="00E47C00" w:rsidRPr="0068661E">
        <w:rPr>
          <w:rFonts w:ascii="Arial" w:hAnsi="Arial" w:cs="Arial"/>
        </w:rPr>
        <w:t>20</w:t>
      </w:r>
      <w:r w:rsidR="00051A7B">
        <w:rPr>
          <w:rFonts w:ascii="Arial" w:hAnsi="Arial" w:cs="Arial"/>
        </w:rPr>
        <w:t>20</w:t>
      </w:r>
      <w:r w:rsidR="00AC78A0">
        <w:rPr>
          <w:rFonts w:ascii="Arial" w:hAnsi="Arial" w:cs="Arial"/>
        </w:rPr>
        <w:t>/</w:t>
      </w:r>
      <w:r w:rsidR="00FE6605">
        <w:rPr>
          <w:rFonts w:ascii="Arial" w:hAnsi="Arial" w:cs="Arial"/>
        </w:rPr>
        <w:t>2</w:t>
      </w:r>
      <w:r w:rsidR="00051A7B">
        <w:rPr>
          <w:rFonts w:ascii="Arial" w:hAnsi="Arial" w:cs="Arial"/>
        </w:rPr>
        <w:t>1</w:t>
      </w:r>
      <w:r w:rsidR="006262FB" w:rsidRPr="0068661E">
        <w:rPr>
          <w:rFonts w:ascii="Arial" w:hAnsi="Arial" w:cs="Arial"/>
        </w:rPr>
        <w:t xml:space="preserve"> is </w:t>
      </w:r>
      <w:r w:rsidR="002F1059">
        <w:rPr>
          <w:rFonts w:ascii="Arial" w:hAnsi="Arial" w:cs="Arial"/>
        </w:rPr>
        <w:t>363</w:t>
      </w:r>
      <w:r w:rsidR="00877577">
        <w:rPr>
          <w:rFonts w:ascii="Arial" w:hAnsi="Arial" w:cs="Arial"/>
        </w:rPr>
        <w:t xml:space="preserve"> </w:t>
      </w:r>
      <w:r w:rsidR="00B14EC2">
        <w:rPr>
          <w:rFonts w:ascii="Arial" w:hAnsi="Arial" w:cs="Arial"/>
        </w:rPr>
        <w:t>%</w:t>
      </w:r>
      <w:r w:rsidRPr="0068661E">
        <w:rPr>
          <w:rFonts w:ascii="Arial" w:hAnsi="Arial" w:cs="Arial"/>
        </w:rPr>
        <w:t xml:space="preserve"> </w:t>
      </w:r>
      <w:r w:rsidR="00BF7AA2">
        <w:rPr>
          <w:rFonts w:ascii="Arial" w:hAnsi="Arial" w:cs="Arial"/>
        </w:rPr>
        <w:t xml:space="preserve">more </w:t>
      </w:r>
      <w:r w:rsidR="006262FB" w:rsidRPr="0068661E">
        <w:rPr>
          <w:rFonts w:ascii="Arial" w:hAnsi="Arial" w:cs="Arial"/>
        </w:rPr>
        <w:t xml:space="preserve">when compared </w:t>
      </w:r>
      <w:r w:rsidRPr="0068661E">
        <w:rPr>
          <w:rFonts w:ascii="Arial" w:hAnsi="Arial" w:cs="Arial"/>
        </w:rPr>
        <w:t xml:space="preserve">to the </w:t>
      </w:r>
      <w:r w:rsidR="006706E5">
        <w:rPr>
          <w:rFonts w:ascii="Arial" w:hAnsi="Arial" w:cs="Arial"/>
        </w:rPr>
        <w:t>20</w:t>
      </w:r>
      <w:r w:rsidR="00532203">
        <w:rPr>
          <w:rFonts w:ascii="Arial" w:hAnsi="Arial" w:cs="Arial"/>
        </w:rPr>
        <w:t>19</w:t>
      </w:r>
      <w:r w:rsidR="006706E5">
        <w:rPr>
          <w:rFonts w:ascii="Arial" w:hAnsi="Arial" w:cs="Arial"/>
        </w:rPr>
        <w:t>/</w:t>
      </w:r>
      <w:r w:rsidR="00532203">
        <w:rPr>
          <w:rFonts w:ascii="Arial" w:hAnsi="Arial" w:cs="Arial"/>
        </w:rPr>
        <w:t>20</w:t>
      </w:r>
      <w:r w:rsidRPr="0068661E">
        <w:rPr>
          <w:rFonts w:ascii="Arial" w:hAnsi="Arial" w:cs="Arial"/>
        </w:rPr>
        <w:t xml:space="preserve"> </w:t>
      </w:r>
      <w:r w:rsidR="008D6147">
        <w:rPr>
          <w:rFonts w:ascii="Arial" w:hAnsi="Arial" w:cs="Arial"/>
        </w:rPr>
        <w:t>second</w:t>
      </w:r>
      <w:r w:rsidR="00532203">
        <w:rPr>
          <w:rFonts w:ascii="Arial" w:hAnsi="Arial" w:cs="Arial"/>
        </w:rPr>
        <w:t xml:space="preserve"> </w:t>
      </w:r>
      <w:r w:rsidR="00B14EC2">
        <w:rPr>
          <w:rFonts w:ascii="Arial" w:hAnsi="Arial" w:cs="Arial"/>
        </w:rPr>
        <w:t>a</w:t>
      </w:r>
      <w:r w:rsidRPr="0068661E">
        <w:rPr>
          <w:rFonts w:ascii="Arial" w:hAnsi="Arial" w:cs="Arial"/>
        </w:rPr>
        <w:t xml:space="preserve">djustment </w:t>
      </w:r>
      <w:r w:rsidR="00B14EC2">
        <w:rPr>
          <w:rFonts w:ascii="Arial" w:hAnsi="Arial" w:cs="Arial"/>
        </w:rPr>
        <w:t>b</w:t>
      </w:r>
      <w:r w:rsidRPr="0068661E">
        <w:rPr>
          <w:rFonts w:ascii="Arial" w:hAnsi="Arial" w:cs="Arial"/>
        </w:rPr>
        <w:t>udget</w:t>
      </w:r>
      <w:r w:rsidR="00AE6255" w:rsidRPr="0068661E">
        <w:rPr>
          <w:rFonts w:ascii="Arial" w:hAnsi="Arial" w:cs="Arial"/>
        </w:rPr>
        <w:t xml:space="preserve">. </w:t>
      </w:r>
      <w:r w:rsidR="006262FB" w:rsidRPr="0068661E">
        <w:rPr>
          <w:rFonts w:ascii="Arial" w:hAnsi="Arial" w:cs="Arial"/>
        </w:rPr>
        <w:t xml:space="preserve"> </w:t>
      </w:r>
      <w:r w:rsidR="00AE6255" w:rsidRPr="002A603B">
        <w:rPr>
          <w:rFonts w:ascii="Arial" w:hAnsi="Arial" w:cs="Arial"/>
        </w:rPr>
        <w:t xml:space="preserve">The </w:t>
      </w:r>
      <w:r w:rsidR="00BF7AA2">
        <w:rPr>
          <w:rFonts w:ascii="Arial" w:hAnsi="Arial" w:cs="Arial"/>
        </w:rPr>
        <w:t>in</w:t>
      </w:r>
      <w:r w:rsidR="00662515" w:rsidRPr="002A603B">
        <w:rPr>
          <w:rFonts w:ascii="Arial" w:hAnsi="Arial" w:cs="Arial"/>
        </w:rPr>
        <w:t>cr</w:t>
      </w:r>
      <w:r w:rsidR="0053463A" w:rsidRPr="002A603B">
        <w:rPr>
          <w:rFonts w:ascii="Arial" w:hAnsi="Arial" w:cs="Arial"/>
        </w:rPr>
        <w:t>ease</w:t>
      </w:r>
      <w:r w:rsidRPr="002A603B">
        <w:rPr>
          <w:rFonts w:ascii="Arial" w:hAnsi="Arial" w:cs="Arial"/>
        </w:rPr>
        <w:t xml:space="preserve"> </w:t>
      </w:r>
      <w:r w:rsidRPr="00646B5E">
        <w:rPr>
          <w:rFonts w:ascii="Arial" w:hAnsi="Arial" w:cs="Arial"/>
        </w:rPr>
        <w:t xml:space="preserve">is </w:t>
      </w:r>
      <w:r w:rsidR="00AE6255" w:rsidRPr="00646B5E">
        <w:rPr>
          <w:rFonts w:ascii="Arial" w:hAnsi="Arial" w:cs="Arial"/>
        </w:rPr>
        <w:t>due to</w:t>
      </w:r>
      <w:r w:rsidR="00B766C6" w:rsidRPr="00646B5E">
        <w:rPr>
          <w:rFonts w:ascii="Arial" w:hAnsi="Arial" w:cs="Arial"/>
        </w:rPr>
        <w:t xml:space="preserve"> </w:t>
      </w:r>
      <w:r w:rsidR="00646B5E">
        <w:rPr>
          <w:rFonts w:ascii="Arial" w:hAnsi="Arial" w:cs="Arial"/>
        </w:rPr>
        <w:t>the allocations</w:t>
      </w:r>
      <w:r w:rsidR="00532203">
        <w:rPr>
          <w:rFonts w:ascii="Arial" w:hAnsi="Arial" w:cs="Arial"/>
        </w:rPr>
        <w:t xml:space="preserve"> </w:t>
      </w:r>
      <w:r w:rsidR="00BF7AA2">
        <w:rPr>
          <w:rFonts w:ascii="Arial" w:hAnsi="Arial" w:cs="Arial"/>
        </w:rPr>
        <w:t>that have increased in the current budget year</w:t>
      </w:r>
      <w:r w:rsidR="00B14EC2">
        <w:rPr>
          <w:rFonts w:ascii="Arial" w:hAnsi="Arial" w:cs="Arial"/>
        </w:rPr>
        <w:t>.</w:t>
      </w:r>
      <w:r w:rsidRPr="0068661E">
        <w:rPr>
          <w:rFonts w:ascii="Arial" w:hAnsi="Arial" w:cs="Arial"/>
        </w:rPr>
        <w:t xml:space="preserve"> </w:t>
      </w:r>
      <w:r w:rsidR="00E661CF" w:rsidRPr="0068661E">
        <w:rPr>
          <w:rFonts w:ascii="Arial" w:hAnsi="Arial" w:cs="Arial"/>
        </w:rPr>
        <w:t xml:space="preserve"> </w:t>
      </w:r>
      <w:r w:rsidR="008F2BA9" w:rsidRPr="0068661E">
        <w:rPr>
          <w:rFonts w:ascii="Arial" w:hAnsi="Arial" w:cs="Arial"/>
        </w:rPr>
        <w:t>T</w:t>
      </w:r>
      <w:r w:rsidRPr="0068661E">
        <w:rPr>
          <w:rFonts w:ascii="Arial" w:hAnsi="Arial" w:cs="Arial"/>
        </w:rPr>
        <w:t>he capital programme</w:t>
      </w:r>
      <w:r w:rsidR="00B06518">
        <w:rPr>
          <w:rFonts w:ascii="Arial" w:hAnsi="Arial" w:cs="Arial"/>
        </w:rPr>
        <w:t>s</w:t>
      </w:r>
      <w:r w:rsidRPr="0068661E">
        <w:rPr>
          <w:rFonts w:ascii="Arial" w:hAnsi="Arial" w:cs="Arial"/>
        </w:rPr>
        <w:t xml:space="preserve"> </w:t>
      </w:r>
      <w:r w:rsidR="004407B7">
        <w:rPr>
          <w:rFonts w:ascii="Arial" w:hAnsi="Arial" w:cs="Arial"/>
        </w:rPr>
        <w:t xml:space="preserve">are reflecting </w:t>
      </w:r>
      <w:r w:rsidR="00EE7455">
        <w:rPr>
          <w:rFonts w:ascii="Arial" w:hAnsi="Arial" w:cs="Arial"/>
        </w:rPr>
        <w:t>a</w:t>
      </w:r>
      <w:r w:rsidR="00532203">
        <w:rPr>
          <w:rFonts w:ascii="Arial" w:hAnsi="Arial" w:cs="Arial"/>
        </w:rPr>
        <w:t xml:space="preserve"> gradual de</w:t>
      </w:r>
      <w:r w:rsidR="004407B7">
        <w:rPr>
          <w:rFonts w:ascii="Arial" w:hAnsi="Arial" w:cs="Arial"/>
        </w:rPr>
        <w:t>crease</w:t>
      </w:r>
      <w:r w:rsidR="00EE7455">
        <w:rPr>
          <w:rFonts w:ascii="Arial" w:hAnsi="Arial" w:cs="Arial"/>
        </w:rPr>
        <w:t xml:space="preserve"> </w:t>
      </w:r>
      <w:r w:rsidR="004407B7">
        <w:rPr>
          <w:rFonts w:ascii="Arial" w:hAnsi="Arial" w:cs="Arial"/>
        </w:rPr>
        <w:t>in the two outer year</w:t>
      </w:r>
      <w:r w:rsidR="001B74DE">
        <w:rPr>
          <w:rFonts w:ascii="Arial" w:hAnsi="Arial" w:cs="Arial"/>
        </w:rPr>
        <w:t>s</w:t>
      </w:r>
      <w:r w:rsidR="00EE7455">
        <w:rPr>
          <w:rFonts w:ascii="Arial" w:hAnsi="Arial" w:cs="Arial"/>
        </w:rPr>
        <w:t xml:space="preserve"> </w:t>
      </w:r>
      <w:r w:rsidR="004407B7">
        <w:rPr>
          <w:rFonts w:ascii="Arial" w:hAnsi="Arial" w:cs="Arial"/>
        </w:rPr>
        <w:t xml:space="preserve">to </w:t>
      </w:r>
      <w:r w:rsidRPr="0068661E">
        <w:rPr>
          <w:rFonts w:ascii="Arial" w:hAnsi="Arial" w:cs="Arial"/>
        </w:rPr>
        <w:t>R</w:t>
      </w:r>
      <w:r w:rsidR="001B74DE">
        <w:rPr>
          <w:rFonts w:ascii="Arial" w:hAnsi="Arial" w:cs="Arial"/>
        </w:rPr>
        <w:t xml:space="preserve"> </w:t>
      </w:r>
      <w:r w:rsidR="00532203">
        <w:rPr>
          <w:rFonts w:ascii="Arial" w:hAnsi="Arial" w:cs="Arial"/>
        </w:rPr>
        <w:t>569.6</w:t>
      </w:r>
      <w:r w:rsidR="004407B7" w:rsidRPr="00FE6605">
        <w:rPr>
          <w:rFonts w:ascii="Arial" w:hAnsi="Arial" w:cs="Arial"/>
          <w:color w:val="FF0000"/>
        </w:rPr>
        <w:t xml:space="preserve"> </w:t>
      </w:r>
      <w:r w:rsidR="000C3F5B" w:rsidRPr="0068661E">
        <w:rPr>
          <w:rFonts w:ascii="Arial" w:hAnsi="Arial" w:cs="Arial"/>
        </w:rPr>
        <w:t>m</w:t>
      </w:r>
      <w:r w:rsidRPr="0068661E">
        <w:rPr>
          <w:rFonts w:ascii="Arial" w:hAnsi="Arial" w:cs="Arial"/>
        </w:rPr>
        <w:t>illion</w:t>
      </w:r>
      <w:r w:rsidR="004407B7">
        <w:rPr>
          <w:rFonts w:ascii="Arial" w:hAnsi="Arial" w:cs="Arial"/>
        </w:rPr>
        <w:t xml:space="preserve"> and R</w:t>
      </w:r>
      <w:r w:rsidR="001B74DE">
        <w:rPr>
          <w:rFonts w:ascii="Arial" w:hAnsi="Arial" w:cs="Arial"/>
        </w:rPr>
        <w:t xml:space="preserve"> </w:t>
      </w:r>
      <w:r w:rsidR="00BF7AA2">
        <w:rPr>
          <w:rFonts w:ascii="Arial" w:hAnsi="Arial" w:cs="Arial"/>
        </w:rPr>
        <w:t>481.9</w:t>
      </w:r>
      <w:r w:rsidR="004407B7" w:rsidRPr="00FE6605">
        <w:rPr>
          <w:rFonts w:ascii="Arial" w:hAnsi="Arial" w:cs="Arial"/>
          <w:color w:val="FF0000"/>
        </w:rPr>
        <w:t xml:space="preserve"> </w:t>
      </w:r>
      <w:r w:rsidR="004407B7">
        <w:rPr>
          <w:rFonts w:ascii="Arial" w:hAnsi="Arial" w:cs="Arial"/>
        </w:rPr>
        <w:t xml:space="preserve">million respectively. </w:t>
      </w:r>
      <w:r w:rsidR="000C3F5B" w:rsidRPr="0068661E">
        <w:rPr>
          <w:rFonts w:ascii="Arial" w:hAnsi="Arial" w:cs="Arial"/>
        </w:rPr>
        <w:t>The main source of</w:t>
      </w:r>
      <w:r w:rsidR="004903DB">
        <w:rPr>
          <w:rFonts w:ascii="Arial" w:hAnsi="Arial" w:cs="Arial"/>
        </w:rPr>
        <w:t xml:space="preserve"> capital </w:t>
      </w:r>
      <w:r w:rsidR="000C3F5B" w:rsidRPr="0068661E">
        <w:rPr>
          <w:rFonts w:ascii="Arial" w:hAnsi="Arial" w:cs="Arial"/>
        </w:rPr>
        <w:t xml:space="preserve">funding for the municipality </w:t>
      </w:r>
      <w:r w:rsidR="004903DB">
        <w:rPr>
          <w:rFonts w:ascii="Arial" w:hAnsi="Arial" w:cs="Arial"/>
        </w:rPr>
        <w:t>are</w:t>
      </w:r>
      <w:r w:rsidR="00A635A7">
        <w:rPr>
          <w:rFonts w:ascii="Arial" w:hAnsi="Arial" w:cs="Arial"/>
        </w:rPr>
        <w:t xml:space="preserve"> </w:t>
      </w:r>
      <w:r w:rsidR="009C64DC">
        <w:rPr>
          <w:rFonts w:ascii="Arial" w:hAnsi="Arial" w:cs="Arial"/>
        </w:rPr>
        <w:t>national</w:t>
      </w:r>
      <w:r w:rsidR="004903DB">
        <w:rPr>
          <w:rFonts w:ascii="Arial" w:hAnsi="Arial" w:cs="Arial"/>
        </w:rPr>
        <w:t xml:space="preserve"> </w:t>
      </w:r>
      <w:r w:rsidR="000C3F5B" w:rsidRPr="0068661E">
        <w:rPr>
          <w:rFonts w:ascii="Arial" w:hAnsi="Arial" w:cs="Arial"/>
        </w:rPr>
        <w:t>conditional grants</w:t>
      </w:r>
      <w:r w:rsidR="009C64DC">
        <w:rPr>
          <w:rFonts w:ascii="Arial" w:hAnsi="Arial" w:cs="Arial"/>
        </w:rPr>
        <w:t xml:space="preserve"> meant to fund infrastructure</w:t>
      </w:r>
      <w:r w:rsidR="000C3F5B" w:rsidRPr="0068661E">
        <w:rPr>
          <w:rFonts w:ascii="Arial" w:hAnsi="Arial" w:cs="Arial"/>
        </w:rPr>
        <w:t xml:space="preserve">. The municipality </w:t>
      </w:r>
      <w:r w:rsidR="00095B1C">
        <w:rPr>
          <w:rFonts w:ascii="Arial" w:hAnsi="Arial" w:cs="Arial"/>
        </w:rPr>
        <w:t>has to</w:t>
      </w:r>
      <w:r w:rsidR="00B57411">
        <w:rPr>
          <w:rFonts w:ascii="Arial" w:hAnsi="Arial" w:cs="Arial"/>
        </w:rPr>
        <w:t xml:space="preserve"> devise and</w:t>
      </w:r>
      <w:r w:rsidR="00095B1C">
        <w:rPr>
          <w:rFonts w:ascii="Arial" w:hAnsi="Arial" w:cs="Arial"/>
        </w:rPr>
        <w:t xml:space="preserve"> </w:t>
      </w:r>
      <w:r w:rsidR="00A77030">
        <w:rPr>
          <w:rFonts w:ascii="Arial" w:hAnsi="Arial" w:cs="Arial"/>
        </w:rPr>
        <w:t>fully implement the revenue enhancement strategy to increase</w:t>
      </w:r>
      <w:r w:rsidR="00BF7AA2">
        <w:rPr>
          <w:rFonts w:ascii="Arial" w:hAnsi="Arial" w:cs="Arial"/>
        </w:rPr>
        <w:t xml:space="preserve"> </w:t>
      </w:r>
      <w:proofErr w:type="spellStart"/>
      <w:proofErr w:type="gramStart"/>
      <w:r w:rsidR="00BF7AA2">
        <w:rPr>
          <w:rFonts w:ascii="Arial" w:hAnsi="Arial" w:cs="Arial"/>
        </w:rPr>
        <w:t>it’s</w:t>
      </w:r>
      <w:proofErr w:type="spellEnd"/>
      <w:proofErr w:type="gramEnd"/>
      <w:r w:rsidR="00BF7AA2">
        <w:rPr>
          <w:rFonts w:ascii="Arial" w:hAnsi="Arial" w:cs="Arial"/>
        </w:rPr>
        <w:t xml:space="preserve"> </w:t>
      </w:r>
      <w:r w:rsidR="00A77030">
        <w:rPr>
          <w:rFonts w:ascii="Arial" w:hAnsi="Arial" w:cs="Arial"/>
        </w:rPr>
        <w:t>revenue base</w:t>
      </w:r>
      <w:r w:rsidR="00BF7AA2">
        <w:rPr>
          <w:rFonts w:ascii="Arial" w:hAnsi="Arial" w:cs="Arial"/>
        </w:rPr>
        <w:t>.</w:t>
      </w:r>
      <w:r w:rsidR="00FE6605">
        <w:rPr>
          <w:rFonts w:ascii="Arial" w:hAnsi="Arial" w:cs="Arial"/>
        </w:rPr>
        <w:t xml:space="preserve"> </w:t>
      </w:r>
      <w:r w:rsidR="000C3F5B" w:rsidRPr="0068661E">
        <w:rPr>
          <w:rFonts w:ascii="Arial" w:hAnsi="Arial" w:cs="Arial"/>
        </w:rPr>
        <w:t xml:space="preserve">The cost of maintaining the capital infrastructure has to be funded </w:t>
      </w:r>
      <w:r w:rsidR="0053463A">
        <w:rPr>
          <w:rFonts w:ascii="Arial" w:hAnsi="Arial" w:cs="Arial"/>
        </w:rPr>
        <w:t>through revenue generating assets</w:t>
      </w:r>
      <w:r w:rsidR="000C3F5B" w:rsidRPr="0068661E">
        <w:rPr>
          <w:rFonts w:ascii="Arial" w:hAnsi="Arial" w:cs="Arial"/>
        </w:rPr>
        <w:t xml:space="preserve">. The municipality has to budget </w:t>
      </w:r>
      <w:r w:rsidR="009C64DC">
        <w:rPr>
          <w:rFonts w:ascii="Arial" w:hAnsi="Arial" w:cs="Arial"/>
        </w:rPr>
        <w:t>for</w:t>
      </w:r>
      <w:r w:rsidR="000C3F5B" w:rsidRPr="0068661E">
        <w:rPr>
          <w:rFonts w:ascii="Arial" w:hAnsi="Arial" w:cs="Arial"/>
        </w:rPr>
        <w:t xml:space="preserve"> the maintenance of the infrastructure capital assets to mai</w:t>
      </w:r>
      <w:r w:rsidR="009C64DC">
        <w:rPr>
          <w:rFonts w:ascii="Arial" w:hAnsi="Arial" w:cs="Arial"/>
        </w:rPr>
        <w:t>n</w:t>
      </w:r>
      <w:r w:rsidR="000C3F5B" w:rsidRPr="0068661E">
        <w:rPr>
          <w:rFonts w:ascii="Arial" w:hAnsi="Arial" w:cs="Arial"/>
        </w:rPr>
        <w:t>tain</w:t>
      </w:r>
      <w:r w:rsidR="000C3F5B">
        <w:rPr>
          <w:rFonts w:ascii="Arial" w:hAnsi="Arial" w:cs="Arial"/>
        </w:rPr>
        <w:t xml:space="preserve"> </w:t>
      </w:r>
      <w:r w:rsidR="009C64DC">
        <w:rPr>
          <w:rFonts w:ascii="Arial" w:hAnsi="Arial" w:cs="Arial"/>
        </w:rPr>
        <w:t>its</w:t>
      </w:r>
      <w:r w:rsidR="000C3F5B">
        <w:rPr>
          <w:rFonts w:ascii="Arial" w:hAnsi="Arial" w:cs="Arial"/>
        </w:rPr>
        <w:t xml:space="preserve"> service delivery potential.</w:t>
      </w:r>
    </w:p>
    <w:p w:rsidR="00156713" w:rsidRDefault="00156713" w:rsidP="00387B6B">
      <w:pPr>
        <w:spacing w:after="0" w:line="360" w:lineRule="auto"/>
        <w:jc w:val="both"/>
        <w:rPr>
          <w:rFonts w:ascii="Arial" w:hAnsi="Arial" w:cs="Arial"/>
        </w:rPr>
      </w:pPr>
    </w:p>
    <w:p w:rsidR="00D81FBC" w:rsidRPr="00943970" w:rsidRDefault="00D81FBC" w:rsidP="00387B6B">
      <w:pPr>
        <w:pStyle w:val="Heading2"/>
        <w:spacing w:line="360" w:lineRule="auto"/>
        <w:rPr>
          <w:rFonts w:ascii="Arial" w:hAnsi="Arial" w:cs="Arial"/>
          <w:color w:val="auto"/>
        </w:rPr>
      </w:pPr>
      <w:bookmarkStart w:id="16" w:name="_Toc286034093"/>
      <w:bookmarkStart w:id="17" w:name="_Toc286034684"/>
      <w:bookmarkStart w:id="18" w:name="_Toc286041435"/>
      <w:bookmarkStart w:id="19" w:name="_Toc286041504"/>
      <w:bookmarkStart w:id="20" w:name="_Toc286117314"/>
      <w:bookmarkStart w:id="21" w:name="_Toc383769345"/>
      <w:bookmarkStart w:id="22" w:name="_Toc415060204"/>
      <w:r w:rsidRPr="00943970">
        <w:rPr>
          <w:rFonts w:ascii="Arial" w:hAnsi="Arial" w:cs="Arial"/>
          <w:color w:val="auto"/>
        </w:rPr>
        <w:t>Operating Revenue Framework</w:t>
      </w:r>
      <w:bookmarkEnd w:id="16"/>
      <w:bookmarkEnd w:id="17"/>
      <w:bookmarkEnd w:id="18"/>
      <w:bookmarkEnd w:id="19"/>
      <w:bookmarkEnd w:id="20"/>
      <w:bookmarkEnd w:id="21"/>
      <w:bookmarkEnd w:id="22"/>
      <w:r w:rsidR="00FE6605">
        <w:rPr>
          <w:rFonts w:ascii="Arial" w:hAnsi="Arial" w:cs="Arial"/>
          <w:color w:val="auto"/>
        </w:rPr>
        <w:t>:-</w:t>
      </w:r>
    </w:p>
    <w:p w:rsidR="00D81FBC" w:rsidRPr="00D81FBC" w:rsidRDefault="00D81FBC" w:rsidP="00387B6B">
      <w:pPr>
        <w:pStyle w:val="Paragraph"/>
        <w:tabs>
          <w:tab w:val="clear" w:pos="284"/>
          <w:tab w:val="clear" w:pos="567"/>
          <w:tab w:val="clear" w:pos="851"/>
        </w:tabs>
        <w:spacing w:after="0" w:line="360" w:lineRule="auto"/>
        <w:rPr>
          <w:rFonts w:ascii="Arial" w:hAnsi="Arial" w:cs="Arial"/>
          <w:szCs w:val="22"/>
        </w:rPr>
      </w:pPr>
    </w:p>
    <w:p w:rsidR="00D81FBC" w:rsidRDefault="000505DC" w:rsidP="00387B6B">
      <w:pPr>
        <w:spacing w:after="0" w:line="360" w:lineRule="auto"/>
        <w:jc w:val="both"/>
        <w:rPr>
          <w:rFonts w:ascii="Arial" w:hAnsi="Arial" w:cs="Arial"/>
        </w:rPr>
      </w:pPr>
      <w:r>
        <w:rPr>
          <w:rFonts w:ascii="Arial" w:hAnsi="Arial" w:cs="Arial"/>
        </w:rPr>
        <w:t xml:space="preserve">For </w:t>
      </w:r>
      <w:r w:rsidR="00B06518">
        <w:rPr>
          <w:rFonts w:ascii="Arial" w:hAnsi="Arial" w:cs="Arial"/>
        </w:rPr>
        <w:t>the municipality</w:t>
      </w:r>
      <w:r>
        <w:rPr>
          <w:rFonts w:ascii="Arial" w:hAnsi="Arial" w:cs="Arial"/>
        </w:rPr>
        <w:t xml:space="preserve"> to continue improving the quality of services provide</w:t>
      </w:r>
      <w:r w:rsidR="00FD7343">
        <w:rPr>
          <w:rFonts w:ascii="Arial" w:hAnsi="Arial" w:cs="Arial"/>
        </w:rPr>
        <w:t>d</w:t>
      </w:r>
      <w:r>
        <w:rPr>
          <w:rFonts w:ascii="Arial" w:hAnsi="Arial" w:cs="Arial"/>
        </w:rPr>
        <w:t xml:space="preserve"> to its citizens it needs to generate the required </w:t>
      </w:r>
      <w:r w:rsidR="00E83672">
        <w:rPr>
          <w:rFonts w:ascii="Arial" w:hAnsi="Arial" w:cs="Arial"/>
        </w:rPr>
        <w:t xml:space="preserve">own </w:t>
      </w:r>
      <w:r>
        <w:rPr>
          <w:rFonts w:ascii="Arial" w:hAnsi="Arial" w:cs="Arial"/>
        </w:rPr>
        <w:t xml:space="preserve">revenue.  </w:t>
      </w:r>
      <w:r w:rsidR="00E83672">
        <w:rPr>
          <w:rFonts w:ascii="Arial" w:hAnsi="Arial" w:cs="Arial"/>
        </w:rPr>
        <w:t>S</w:t>
      </w:r>
      <w:r>
        <w:rPr>
          <w:rFonts w:ascii="Arial" w:hAnsi="Arial" w:cs="Arial"/>
        </w:rPr>
        <w:t xml:space="preserve">trong revenue management is </w:t>
      </w:r>
      <w:r w:rsidR="00D81FBC" w:rsidRPr="009407CB">
        <w:rPr>
          <w:rFonts w:ascii="Arial" w:hAnsi="Arial" w:cs="Arial"/>
        </w:rPr>
        <w:t xml:space="preserve">fundamental to the financial sustainability of </w:t>
      </w:r>
      <w:r w:rsidR="00E83672">
        <w:rPr>
          <w:rFonts w:ascii="Arial" w:hAnsi="Arial" w:cs="Arial"/>
        </w:rPr>
        <w:t xml:space="preserve">the district </w:t>
      </w:r>
      <w:r w:rsidR="00D81FBC" w:rsidRPr="009407CB">
        <w:rPr>
          <w:rFonts w:ascii="Arial" w:hAnsi="Arial" w:cs="Arial"/>
        </w:rPr>
        <w:t xml:space="preserve">municipality.  The reality is that </w:t>
      </w:r>
      <w:r w:rsidR="00775612">
        <w:rPr>
          <w:rFonts w:ascii="Arial" w:hAnsi="Arial" w:cs="Arial"/>
        </w:rPr>
        <w:t xml:space="preserve">the district is faced with infrastructure </w:t>
      </w:r>
      <w:r w:rsidR="00D81FBC" w:rsidRPr="009407CB">
        <w:rPr>
          <w:rFonts w:ascii="Arial" w:hAnsi="Arial" w:cs="Arial"/>
        </w:rPr>
        <w:t>backlogs and poverty.</w:t>
      </w:r>
      <w:r w:rsidR="00B06518">
        <w:rPr>
          <w:rFonts w:ascii="Arial" w:hAnsi="Arial" w:cs="Arial"/>
        </w:rPr>
        <w:t xml:space="preserve"> </w:t>
      </w:r>
      <w:r w:rsidR="00D81FBC">
        <w:rPr>
          <w:rFonts w:ascii="Arial" w:hAnsi="Arial" w:cs="Arial"/>
        </w:rPr>
        <w:t xml:space="preserve">The expenditure </w:t>
      </w:r>
      <w:r w:rsidR="00E661CF">
        <w:rPr>
          <w:rFonts w:ascii="Arial" w:hAnsi="Arial" w:cs="Arial"/>
        </w:rPr>
        <w:t xml:space="preserve">required </w:t>
      </w:r>
      <w:r w:rsidR="00D81FBC">
        <w:rPr>
          <w:rFonts w:ascii="Arial" w:hAnsi="Arial" w:cs="Arial"/>
        </w:rPr>
        <w:t xml:space="preserve">to address </w:t>
      </w:r>
      <w:r w:rsidR="00E661CF">
        <w:rPr>
          <w:rFonts w:ascii="Arial" w:hAnsi="Arial" w:cs="Arial"/>
        </w:rPr>
        <w:t xml:space="preserve">these challenges </w:t>
      </w:r>
      <w:r w:rsidR="008F2BA9">
        <w:rPr>
          <w:rFonts w:ascii="Arial" w:hAnsi="Arial" w:cs="Arial"/>
        </w:rPr>
        <w:t xml:space="preserve">will </w:t>
      </w:r>
      <w:r w:rsidR="00D81FBC">
        <w:rPr>
          <w:rFonts w:ascii="Arial" w:hAnsi="Arial" w:cs="Arial"/>
        </w:rPr>
        <w:t>inevitably always</w:t>
      </w:r>
      <w:r w:rsidR="008F2BA9">
        <w:rPr>
          <w:rFonts w:ascii="Arial" w:hAnsi="Arial" w:cs="Arial"/>
        </w:rPr>
        <w:t xml:space="preserve"> exceed a</w:t>
      </w:r>
      <w:r w:rsidR="00D81FBC">
        <w:rPr>
          <w:rFonts w:ascii="Arial" w:hAnsi="Arial" w:cs="Arial"/>
        </w:rPr>
        <w:t xml:space="preserve">vailable </w:t>
      </w:r>
      <w:r w:rsidR="008F2BA9">
        <w:rPr>
          <w:rFonts w:ascii="Arial" w:hAnsi="Arial" w:cs="Arial"/>
        </w:rPr>
        <w:t xml:space="preserve">funding; hence </w:t>
      </w:r>
      <w:r w:rsidR="00163A33">
        <w:rPr>
          <w:rFonts w:ascii="Arial" w:hAnsi="Arial" w:cs="Arial"/>
        </w:rPr>
        <w:t>the need to determine economic</w:t>
      </w:r>
      <w:r w:rsidR="00E83672">
        <w:rPr>
          <w:rFonts w:ascii="Arial" w:hAnsi="Arial" w:cs="Arial"/>
        </w:rPr>
        <w:t>, cost reflective</w:t>
      </w:r>
      <w:r w:rsidR="00163A33">
        <w:rPr>
          <w:rFonts w:ascii="Arial" w:hAnsi="Arial" w:cs="Arial"/>
        </w:rPr>
        <w:t xml:space="preserve"> and affor</w:t>
      </w:r>
      <w:r>
        <w:rPr>
          <w:rFonts w:ascii="Arial" w:hAnsi="Arial" w:cs="Arial"/>
        </w:rPr>
        <w:t>d</w:t>
      </w:r>
      <w:r w:rsidR="00163A33">
        <w:rPr>
          <w:rFonts w:ascii="Arial" w:hAnsi="Arial" w:cs="Arial"/>
        </w:rPr>
        <w:t xml:space="preserve">able </w:t>
      </w:r>
      <w:r w:rsidR="00113EA6">
        <w:rPr>
          <w:rFonts w:ascii="Arial" w:hAnsi="Arial" w:cs="Arial"/>
        </w:rPr>
        <w:t>tariff</w:t>
      </w:r>
      <w:r w:rsidR="00163A33">
        <w:rPr>
          <w:rFonts w:ascii="Arial" w:hAnsi="Arial" w:cs="Arial"/>
        </w:rPr>
        <w:t>s</w:t>
      </w:r>
      <w:r w:rsidR="00113EA6">
        <w:rPr>
          <w:rFonts w:ascii="Arial" w:hAnsi="Arial" w:cs="Arial"/>
        </w:rPr>
        <w:t xml:space="preserve"> and balancing </w:t>
      </w:r>
      <w:r w:rsidR="008F2BA9">
        <w:rPr>
          <w:rFonts w:ascii="Arial" w:hAnsi="Arial" w:cs="Arial"/>
        </w:rPr>
        <w:t>expenditure</w:t>
      </w:r>
      <w:r w:rsidR="00113EA6">
        <w:rPr>
          <w:rFonts w:ascii="Arial" w:hAnsi="Arial" w:cs="Arial"/>
        </w:rPr>
        <w:t>s against realistically anticipated revenues</w:t>
      </w:r>
      <w:r w:rsidR="00D81FBC">
        <w:rPr>
          <w:rFonts w:ascii="Arial" w:hAnsi="Arial" w:cs="Arial"/>
        </w:rPr>
        <w:t>.</w:t>
      </w:r>
      <w:r w:rsidR="007340E4">
        <w:rPr>
          <w:rFonts w:ascii="Arial" w:hAnsi="Arial" w:cs="Arial"/>
        </w:rPr>
        <w:t xml:space="preserve"> The municipality has to improve the revenue cycle in order to have funds available to </w:t>
      </w:r>
      <w:r w:rsidR="00163A33">
        <w:rPr>
          <w:rFonts w:ascii="Arial" w:hAnsi="Arial" w:cs="Arial"/>
        </w:rPr>
        <w:t xml:space="preserve">sustain a positive </w:t>
      </w:r>
      <w:r w:rsidR="007340E4">
        <w:rPr>
          <w:rFonts w:ascii="Arial" w:hAnsi="Arial" w:cs="Arial"/>
        </w:rPr>
        <w:t>cash flow position and its liquidity.</w:t>
      </w:r>
    </w:p>
    <w:p w:rsidR="00D81FBC" w:rsidRDefault="00D81FBC" w:rsidP="00387B6B">
      <w:pPr>
        <w:tabs>
          <w:tab w:val="num" w:pos="1440"/>
        </w:tabs>
        <w:spacing w:after="0" w:line="360" w:lineRule="auto"/>
        <w:ind w:left="1440" w:hanging="360"/>
        <w:jc w:val="both"/>
        <w:rPr>
          <w:rFonts w:ascii="Arial" w:hAnsi="Arial" w:cs="Arial"/>
        </w:rPr>
      </w:pPr>
    </w:p>
    <w:p w:rsidR="00161C6C" w:rsidRDefault="0058303A" w:rsidP="00387B6B">
      <w:pPr>
        <w:tabs>
          <w:tab w:val="num" w:pos="1440"/>
        </w:tabs>
        <w:spacing w:after="0" w:line="360" w:lineRule="auto"/>
        <w:jc w:val="both"/>
        <w:rPr>
          <w:rFonts w:ascii="Arial" w:hAnsi="Arial" w:cs="Arial"/>
        </w:rPr>
      </w:pPr>
      <w:r>
        <w:rPr>
          <w:rFonts w:ascii="Arial" w:hAnsi="Arial" w:cs="Arial"/>
        </w:rPr>
        <w:t xml:space="preserve">The municipality has embarked on </w:t>
      </w:r>
      <w:r w:rsidR="00A83717">
        <w:rPr>
          <w:rFonts w:ascii="Arial" w:hAnsi="Arial" w:cs="Arial"/>
        </w:rPr>
        <w:t>d</w:t>
      </w:r>
      <w:r w:rsidR="00086444">
        <w:rPr>
          <w:rFonts w:ascii="Arial" w:hAnsi="Arial" w:cs="Arial"/>
        </w:rPr>
        <w:t>ata cleansing</w:t>
      </w:r>
      <w:r w:rsidR="00E83672">
        <w:rPr>
          <w:rFonts w:ascii="Arial" w:hAnsi="Arial" w:cs="Arial"/>
        </w:rPr>
        <w:t xml:space="preserve"> activities</w:t>
      </w:r>
      <w:r w:rsidR="00086444">
        <w:rPr>
          <w:rFonts w:ascii="Arial" w:hAnsi="Arial" w:cs="Arial"/>
        </w:rPr>
        <w:t xml:space="preserve"> </w:t>
      </w:r>
      <w:r w:rsidR="00A635A7">
        <w:rPr>
          <w:rFonts w:ascii="Arial" w:hAnsi="Arial" w:cs="Arial"/>
        </w:rPr>
        <w:t xml:space="preserve">which </w:t>
      </w:r>
      <w:r>
        <w:rPr>
          <w:rFonts w:ascii="Arial" w:hAnsi="Arial" w:cs="Arial"/>
        </w:rPr>
        <w:t xml:space="preserve">will improve billing and </w:t>
      </w:r>
      <w:r w:rsidR="000D3333">
        <w:rPr>
          <w:rFonts w:ascii="Arial" w:hAnsi="Arial" w:cs="Arial"/>
        </w:rPr>
        <w:t xml:space="preserve">debt </w:t>
      </w:r>
      <w:r>
        <w:rPr>
          <w:rFonts w:ascii="Arial" w:hAnsi="Arial" w:cs="Arial"/>
        </w:rPr>
        <w:t xml:space="preserve">collection </w:t>
      </w:r>
      <w:r w:rsidR="00086444">
        <w:rPr>
          <w:rFonts w:ascii="Arial" w:hAnsi="Arial" w:cs="Arial"/>
        </w:rPr>
        <w:t>rate</w:t>
      </w:r>
      <w:r>
        <w:rPr>
          <w:rFonts w:ascii="Arial" w:hAnsi="Arial" w:cs="Arial"/>
        </w:rPr>
        <w:t>. The focus areas of this strategy are to improve and enhance the following:</w:t>
      </w:r>
      <w:r w:rsidR="000D3333">
        <w:rPr>
          <w:rFonts w:ascii="Arial" w:hAnsi="Arial" w:cs="Arial"/>
        </w:rPr>
        <w:t>-</w:t>
      </w:r>
    </w:p>
    <w:p w:rsidR="0058303A" w:rsidRDefault="0058303A" w:rsidP="00387B6B">
      <w:pPr>
        <w:tabs>
          <w:tab w:val="num" w:pos="1440"/>
        </w:tabs>
        <w:spacing w:after="0" w:line="360" w:lineRule="auto"/>
        <w:jc w:val="both"/>
        <w:rPr>
          <w:rFonts w:ascii="Arial" w:hAnsi="Arial" w:cs="Arial"/>
        </w:rPr>
      </w:pPr>
    </w:p>
    <w:p w:rsidR="0058303A" w:rsidRDefault="0058303A" w:rsidP="00387B6B">
      <w:pPr>
        <w:pStyle w:val="ListParagraph"/>
        <w:numPr>
          <w:ilvl w:val="0"/>
          <w:numId w:val="36"/>
        </w:numPr>
        <w:tabs>
          <w:tab w:val="num" w:pos="1440"/>
        </w:tabs>
        <w:spacing w:after="0" w:line="360" w:lineRule="auto"/>
        <w:jc w:val="both"/>
        <w:rPr>
          <w:rFonts w:ascii="Arial" w:hAnsi="Arial" w:cs="Arial"/>
        </w:rPr>
      </w:pPr>
      <w:r>
        <w:rPr>
          <w:rFonts w:ascii="Arial" w:hAnsi="Arial" w:cs="Arial"/>
        </w:rPr>
        <w:t>The indigent</w:t>
      </w:r>
      <w:r w:rsidR="00A635A7">
        <w:rPr>
          <w:rFonts w:ascii="Arial" w:hAnsi="Arial" w:cs="Arial"/>
        </w:rPr>
        <w:t xml:space="preserve"> registration</w:t>
      </w:r>
      <w:r w:rsidR="00086444">
        <w:rPr>
          <w:rFonts w:ascii="Arial" w:hAnsi="Arial" w:cs="Arial"/>
        </w:rPr>
        <w:t>;</w:t>
      </w:r>
    </w:p>
    <w:p w:rsidR="0058303A" w:rsidRDefault="0058303A" w:rsidP="00387B6B">
      <w:pPr>
        <w:pStyle w:val="ListParagraph"/>
        <w:numPr>
          <w:ilvl w:val="0"/>
          <w:numId w:val="36"/>
        </w:numPr>
        <w:tabs>
          <w:tab w:val="num" w:pos="1440"/>
        </w:tabs>
        <w:spacing w:after="0" w:line="360" w:lineRule="auto"/>
        <w:jc w:val="both"/>
        <w:rPr>
          <w:rFonts w:ascii="Arial" w:hAnsi="Arial" w:cs="Arial"/>
        </w:rPr>
      </w:pPr>
      <w:r>
        <w:rPr>
          <w:rFonts w:ascii="Arial" w:hAnsi="Arial" w:cs="Arial"/>
        </w:rPr>
        <w:t>Data cleansing on the financial information systems</w:t>
      </w:r>
      <w:r w:rsidR="00086444">
        <w:rPr>
          <w:rFonts w:ascii="Arial" w:hAnsi="Arial" w:cs="Arial"/>
        </w:rPr>
        <w:t>;</w:t>
      </w:r>
    </w:p>
    <w:p w:rsidR="0058303A" w:rsidRDefault="0058303A" w:rsidP="00387B6B">
      <w:pPr>
        <w:pStyle w:val="ListParagraph"/>
        <w:numPr>
          <w:ilvl w:val="0"/>
          <w:numId w:val="36"/>
        </w:numPr>
        <w:tabs>
          <w:tab w:val="num" w:pos="1440"/>
        </w:tabs>
        <w:spacing w:after="0" w:line="360" w:lineRule="auto"/>
        <w:jc w:val="both"/>
        <w:rPr>
          <w:rFonts w:ascii="Arial" w:hAnsi="Arial" w:cs="Arial"/>
        </w:rPr>
      </w:pPr>
      <w:r>
        <w:rPr>
          <w:rFonts w:ascii="Arial" w:hAnsi="Arial" w:cs="Arial"/>
        </w:rPr>
        <w:t>Updating of all consumer files</w:t>
      </w:r>
      <w:r w:rsidR="000D3333">
        <w:rPr>
          <w:rFonts w:ascii="Arial" w:hAnsi="Arial" w:cs="Arial"/>
        </w:rPr>
        <w:t xml:space="preserve"> data</w:t>
      </w:r>
      <w:r w:rsidR="00086444">
        <w:rPr>
          <w:rFonts w:ascii="Arial" w:hAnsi="Arial" w:cs="Arial"/>
        </w:rPr>
        <w:t>;</w:t>
      </w:r>
    </w:p>
    <w:p w:rsidR="0058303A" w:rsidRDefault="0058303A" w:rsidP="00387B6B">
      <w:pPr>
        <w:pStyle w:val="ListParagraph"/>
        <w:numPr>
          <w:ilvl w:val="0"/>
          <w:numId w:val="36"/>
        </w:numPr>
        <w:tabs>
          <w:tab w:val="num" w:pos="1440"/>
        </w:tabs>
        <w:spacing w:after="0" w:line="360" w:lineRule="auto"/>
        <w:jc w:val="both"/>
        <w:rPr>
          <w:rFonts w:ascii="Arial" w:hAnsi="Arial" w:cs="Arial"/>
        </w:rPr>
      </w:pPr>
      <w:r>
        <w:rPr>
          <w:rFonts w:ascii="Arial" w:hAnsi="Arial" w:cs="Arial"/>
        </w:rPr>
        <w:t>Accurate billing (proper tariffs charged)</w:t>
      </w:r>
      <w:r w:rsidR="00086444">
        <w:rPr>
          <w:rFonts w:ascii="Arial" w:hAnsi="Arial" w:cs="Arial"/>
        </w:rPr>
        <w:t>;</w:t>
      </w:r>
    </w:p>
    <w:p w:rsidR="0058303A" w:rsidRDefault="0058303A" w:rsidP="00387B6B">
      <w:pPr>
        <w:pStyle w:val="ListParagraph"/>
        <w:numPr>
          <w:ilvl w:val="0"/>
          <w:numId w:val="36"/>
        </w:numPr>
        <w:tabs>
          <w:tab w:val="num" w:pos="1440"/>
        </w:tabs>
        <w:spacing w:after="0" w:line="360" w:lineRule="auto"/>
        <w:jc w:val="both"/>
        <w:rPr>
          <w:rFonts w:ascii="Arial" w:hAnsi="Arial" w:cs="Arial"/>
        </w:rPr>
      </w:pPr>
      <w:r>
        <w:rPr>
          <w:rFonts w:ascii="Arial" w:hAnsi="Arial" w:cs="Arial"/>
        </w:rPr>
        <w:t>Revenue collection that’s sustains the cash flow position of the municipality</w:t>
      </w:r>
      <w:r w:rsidR="00086444">
        <w:rPr>
          <w:rFonts w:ascii="Arial" w:hAnsi="Arial" w:cs="Arial"/>
        </w:rPr>
        <w:t>;</w:t>
      </w:r>
    </w:p>
    <w:p w:rsidR="0058303A" w:rsidRDefault="0058303A" w:rsidP="00387B6B">
      <w:pPr>
        <w:pStyle w:val="ListParagraph"/>
        <w:numPr>
          <w:ilvl w:val="0"/>
          <w:numId w:val="36"/>
        </w:numPr>
        <w:tabs>
          <w:tab w:val="num" w:pos="1440"/>
        </w:tabs>
        <w:spacing w:after="0" w:line="360" w:lineRule="auto"/>
        <w:jc w:val="both"/>
        <w:rPr>
          <w:rFonts w:ascii="Arial" w:hAnsi="Arial" w:cs="Arial"/>
        </w:rPr>
      </w:pPr>
      <w:r>
        <w:rPr>
          <w:rFonts w:ascii="Arial" w:hAnsi="Arial" w:cs="Arial"/>
        </w:rPr>
        <w:t xml:space="preserve">Skills transfer and capacitation of </w:t>
      </w:r>
      <w:r w:rsidR="00E83672">
        <w:rPr>
          <w:rFonts w:ascii="Arial" w:hAnsi="Arial" w:cs="Arial"/>
        </w:rPr>
        <w:t xml:space="preserve">Council </w:t>
      </w:r>
      <w:r w:rsidR="00F820E6">
        <w:rPr>
          <w:rFonts w:ascii="Arial" w:hAnsi="Arial" w:cs="Arial"/>
        </w:rPr>
        <w:t>officials</w:t>
      </w:r>
      <w:r>
        <w:rPr>
          <w:rFonts w:ascii="Arial" w:hAnsi="Arial" w:cs="Arial"/>
        </w:rPr>
        <w:t xml:space="preserve"> on</w:t>
      </w:r>
      <w:r w:rsidR="000D3333">
        <w:rPr>
          <w:rFonts w:ascii="Arial" w:hAnsi="Arial" w:cs="Arial"/>
        </w:rPr>
        <w:t xml:space="preserve"> implementation of</w:t>
      </w:r>
      <w:r>
        <w:rPr>
          <w:rFonts w:ascii="Arial" w:hAnsi="Arial" w:cs="Arial"/>
        </w:rPr>
        <w:t xml:space="preserve"> t</w:t>
      </w:r>
      <w:r w:rsidR="00A83717">
        <w:rPr>
          <w:rFonts w:ascii="Arial" w:hAnsi="Arial" w:cs="Arial"/>
        </w:rPr>
        <w:t>he revenue enhancement strategy;</w:t>
      </w:r>
    </w:p>
    <w:p w:rsidR="00B85344" w:rsidRDefault="00B85344" w:rsidP="00387B6B">
      <w:pPr>
        <w:pStyle w:val="ListParagraph"/>
        <w:numPr>
          <w:ilvl w:val="0"/>
          <w:numId w:val="36"/>
        </w:numPr>
        <w:tabs>
          <w:tab w:val="num" w:pos="1440"/>
        </w:tabs>
        <w:spacing w:after="0" w:line="360" w:lineRule="auto"/>
        <w:jc w:val="both"/>
        <w:rPr>
          <w:rFonts w:ascii="Arial" w:hAnsi="Arial" w:cs="Arial"/>
        </w:rPr>
      </w:pPr>
      <w:r>
        <w:rPr>
          <w:rFonts w:ascii="Arial" w:hAnsi="Arial" w:cs="Arial"/>
        </w:rPr>
        <w:t>Debt recovery of outstanding</w:t>
      </w:r>
      <w:r w:rsidR="00E83672">
        <w:rPr>
          <w:rFonts w:ascii="Arial" w:hAnsi="Arial" w:cs="Arial"/>
        </w:rPr>
        <w:t xml:space="preserve"> debtors</w:t>
      </w:r>
      <w:r w:rsidR="00086444">
        <w:rPr>
          <w:rFonts w:ascii="Arial" w:hAnsi="Arial" w:cs="Arial"/>
        </w:rPr>
        <w:t>; and</w:t>
      </w:r>
    </w:p>
    <w:p w:rsidR="004E19E7" w:rsidRPr="00F820E6" w:rsidRDefault="00B85344" w:rsidP="00387B6B">
      <w:pPr>
        <w:pStyle w:val="ListParagraph"/>
        <w:numPr>
          <w:ilvl w:val="0"/>
          <w:numId w:val="36"/>
        </w:numPr>
        <w:tabs>
          <w:tab w:val="num" w:pos="1440"/>
        </w:tabs>
        <w:spacing w:after="0" w:line="360" w:lineRule="auto"/>
        <w:jc w:val="both"/>
        <w:rPr>
          <w:rFonts w:ascii="Arial" w:hAnsi="Arial" w:cs="Arial"/>
        </w:rPr>
      </w:pPr>
      <w:r w:rsidRPr="00F820E6">
        <w:rPr>
          <w:rFonts w:ascii="Arial" w:hAnsi="Arial" w:cs="Arial"/>
        </w:rPr>
        <w:t>An effective</w:t>
      </w:r>
      <w:r w:rsidR="00086444">
        <w:rPr>
          <w:rFonts w:ascii="Arial" w:hAnsi="Arial" w:cs="Arial"/>
        </w:rPr>
        <w:t xml:space="preserve"> implementation of the</w:t>
      </w:r>
      <w:r w:rsidRPr="00F820E6">
        <w:rPr>
          <w:rFonts w:ascii="Arial" w:hAnsi="Arial" w:cs="Arial"/>
        </w:rPr>
        <w:t xml:space="preserve"> credit control policy</w:t>
      </w:r>
      <w:r w:rsidR="000D3333">
        <w:rPr>
          <w:rFonts w:ascii="Arial" w:hAnsi="Arial" w:cs="Arial"/>
        </w:rPr>
        <w:t>.</w:t>
      </w:r>
    </w:p>
    <w:p w:rsidR="004E19E7" w:rsidRDefault="004E19E7" w:rsidP="00387B6B">
      <w:pPr>
        <w:tabs>
          <w:tab w:val="num" w:pos="1440"/>
        </w:tabs>
        <w:spacing w:after="0" w:line="360" w:lineRule="auto"/>
        <w:jc w:val="both"/>
        <w:rPr>
          <w:rFonts w:ascii="Arial" w:hAnsi="Arial" w:cs="Arial"/>
        </w:rPr>
      </w:pPr>
    </w:p>
    <w:p w:rsidR="00B67C2F" w:rsidRDefault="00D81FBC" w:rsidP="00B67C2F">
      <w:pPr>
        <w:spacing w:after="0" w:line="360" w:lineRule="auto"/>
        <w:jc w:val="both"/>
        <w:rPr>
          <w:rFonts w:ascii="Arial" w:hAnsi="Arial"/>
          <w:b/>
        </w:rPr>
      </w:pPr>
      <w:r w:rsidRPr="00A83717">
        <w:rPr>
          <w:rFonts w:ascii="Arial" w:hAnsi="Arial"/>
          <w:b/>
        </w:rPr>
        <w:t>The following table is a</w:t>
      </w:r>
      <w:r w:rsidR="007F7CE9">
        <w:rPr>
          <w:rFonts w:ascii="Arial" w:hAnsi="Arial"/>
          <w:b/>
        </w:rPr>
        <w:t xml:space="preserve"> revenue</w:t>
      </w:r>
      <w:r w:rsidRPr="00A83717">
        <w:rPr>
          <w:rFonts w:ascii="Arial" w:hAnsi="Arial"/>
          <w:b/>
        </w:rPr>
        <w:t xml:space="preserve"> summary of the </w:t>
      </w:r>
      <w:r w:rsidR="006706E5" w:rsidRPr="00A83717">
        <w:rPr>
          <w:rFonts w:ascii="Arial" w:hAnsi="Arial" w:cs="Arial"/>
          <w:b/>
        </w:rPr>
        <w:t>20</w:t>
      </w:r>
      <w:r w:rsidR="00E83672">
        <w:rPr>
          <w:rFonts w:ascii="Arial" w:hAnsi="Arial" w:cs="Arial"/>
          <w:b/>
        </w:rPr>
        <w:t>20</w:t>
      </w:r>
      <w:r w:rsidR="006706E5" w:rsidRPr="00A83717">
        <w:rPr>
          <w:rFonts w:ascii="Arial" w:hAnsi="Arial" w:cs="Arial"/>
          <w:b/>
        </w:rPr>
        <w:t>/</w:t>
      </w:r>
      <w:r w:rsidR="00E83672">
        <w:rPr>
          <w:rFonts w:ascii="Arial" w:hAnsi="Arial" w:cs="Arial"/>
          <w:b/>
        </w:rPr>
        <w:t>2</w:t>
      </w:r>
      <w:r w:rsidR="006706E5" w:rsidRPr="00A83717">
        <w:rPr>
          <w:rFonts w:ascii="Arial" w:hAnsi="Arial" w:cs="Arial"/>
          <w:b/>
        </w:rPr>
        <w:t>1</w:t>
      </w:r>
      <w:r w:rsidRPr="00A83717">
        <w:rPr>
          <w:rFonts w:ascii="Arial" w:hAnsi="Arial" w:cs="Arial"/>
          <w:b/>
        </w:rPr>
        <w:t xml:space="preserve"> </w:t>
      </w:r>
      <w:r w:rsidRPr="00A83717">
        <w:rPr>
          <w:rFonts w:ascii="Arial" w:hAnsi="Arial"/>
          <w:b/>
        </w:rPr>
        <w:t>MTREF (</w:t>
      </w:r>
      <w:r w:rsidR="002216E1" w:rsidRPr="00A83717">
        <w:rPr>
          <w:rFonts w:ascii="Arial" w:hAnsi="Arial"/>
          <w:b/>
        </w:rPr>
        <w:t xml:space="preserve">by </w:t>
      </w:r>
      <w:r w:rsidRPr="00A83717">
        <w:rPr>
          <w:rFonts w:ascii="Arial" w:hAnsi="Arial"/>
          <w:b/>
        </w:rPr>
        <w:t>revenue source):</w:t>
      </w:r>
      <w:bookmarkStart w:id="23" w:name="_Toc287342443"/>
    </w:p>
    <w:p w:rsidR="0067102E" w:rsidRDefault="0067102E" w:rsidP="00B67C2F">
      <w:pPr>
        <w:spacing w:after="0" w:line="360" w:lineRule="auto"/>
        <w:jc w:val="both"/>
        <w:rPr>
          <w:rFonts w:ascii="Arial" w:hAnsi="Arial"/>
          <w:b/>
        </w:rPr>
      </w:pPr>
    </w:p>
    <w:p w:rsidR="00117162" w:rsidRDefault="002216E1" w:rsidP="00C340CF">
      <w:pPr>
        <w:spacing w:after="0" w:line="360" w:lineRule="auto"/>
        <w:rPr>
          <w:rFonts w:ascii="Arial" w:hAnsi="Arial" w:cs="Arial"/>
          <w:b/>
        </w:rPr>
      </w:pPr>
      <w:r w:rsidRPr="00B67C2F">
        <w:rPr>
          <w:rFonts w:ascii="Arial" w:hAnsi="Arial" w:cs="Arial"/>
          <w:b/>
        </w:rPr>
        <w:t xml:space="preserve">Table </w:t>
      </w:r>
      <w:r w:rsidR="007F7CE9">
        <w:rPr>
          <w:rFonts w:ascii="Arial" w:hAnsi="Arial" w:cs="Arial"/>
          <w:b/>
        </w:rPr>
        <w:t>2:</w:t>
      </w:r>
      <w:r w:rsidRPr="00B67C2F">
        <w:rPr>
          <w:rFonts w:ascii="Arial" w:hAnsi="Arial" w:cs="Arial"/>
          <w:b/>
        </w:rPr>
        <w:t xml:space="preserve">  Summary of revenue classified by main revenue source</w:t>
      </w:r>
      <w:bookmarkEnd w:id="23"/>
      <w:r w:rsidR="00F24A9A">
        <w:rPr>
          <w:rFonts w:ascii="Arial" w:hAnsi="Arial" w:cs="Arial"/>
          <w:b/>
        </w:rPr>
        <w:t xml:space="preserve">:- </w:t>
      </w:r>
      <w:bookmarkStart w:id="24" w:name="_Toc287342444"/>
      <w:bookmarkStart w:id="25" w:name="_Toc415060205"/>
    </w:p>
    <w:p w:rsidR="001977D2" w:rsidRDefault="001977D2" w:rsidP="00C340CF">
      <w:pPr>
        <w:spacing w:after="0" w:line="360" w:lineRule="auto"/>
        <w:rPr>
          <w:rFonts w:ascii="Arial" w:hAnsi="Arial" w:cs="Arial"/>
        </w:rPr>
      </w:pPr>
    </w:p>
    <w:p w:rsidR="007F7CE9" w:rsidRDefault="00AA084A" w:rsidP="00C340CF">
      <w:pPr>
        <w:spacing w:after="0" w:line="360" w:lineRule="auto"/>
        <w:rPr>
          <w:rFonts w:ascii="Arial" w:hAnsi="Arial" w:cs="Arial"/>
        </w:rPr>
      </w:pPr>
      <w:r w:rsidRPr="00AA084A">
        <w:rPr>
          <w:noProof/>
          <w:lang w:val="en-US" w:eastAsia="en-US"/>
        </w:rPr>
        <w:drawing>
          <wp:inline distT="0" distB="0" distL="0" distR="0">
            <wp:extent cx="6096000" cy="30719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7271" cy="3077625"/>
                    </a:xfrm>
                    <a:prstGeom prst="rect">
                      <a:avLst/>
                    </a:prstGeom>
                    <a:noFill/>
                    <a:ln>
                      <a:noFill/>
                    </a:ln>
                  </pic:spPr>
                </pic:pic>
              </a:graphicData>
            </a:graphic>
          </wp:inline>
        </w:drawing>
      </w:r>
    </w:p>
    <w:p w:rsidR="0067102E" w:rsidRDefault="0067102E" w:rsidP="0067102E">
      <w:pPr>
        <w:pStyle w:val="Heading3"/>
        <w:numPr>
          <w:ilvl w:val="0"/>
          <w:numId w:val="0"/>
        </w:numPr>
        <w:spacing w:line="360" w:lineRule="auto"/>
        <w:rPr>
          <w:rFonts w:ascii="Arial" w:hAnsi="Arial" w:cs="Arial"/>
          <w:color w:val="auto"/>
        </w:rPr>
      </w:pPr>
      <w:r w:rsidRPr="00703540">
        <w:rPr>
          <w:rFonts w:ascii="Arial" w:hAnsi="Arial" w:cs="Arial"/>
          <w:color w:val="auto"/>
        </w:rPr>
        <w:t xml:space="preserve">Figure </w:t>
      </w:r>
      <w:r w:rsidR="003B3FB2">
        <w:rPr>
          <w:rFonts w:ascii="Arial" w:hAnsi="Arial" w:cs="Arial"/>
          <w:color w:val="auto"/>
        </w:rPr>
        <w:t>1</w:t>
      </w:r>
      <w:r w:rsidR="007F7CE9">
        <w:rPr>
          <w:rFonts w:ascii="Arial" w:hAnsi="Arial" w:cs="Arial"/>
          <w:color w:val="auto"/>
        </w:rPr>
        <w:t>:</w:t>
      </w:r>
      <w:r w:rsidRPr="00703540">
        <w:rPr>
          <w:rFonts w:ascii="Arial" w:hAnsi="Arial" w:cs="Arial"/>
          <w:color w:val="auto"/>
        </w:rPr>
        <w:t xml:space="preserve">  </w:t>
      </w:r>
      <w:r>
        <w:rPr>
          <w:rFonts w:ascii="Arial" w:hAnsi="Arial" w:cs="Arial"/>
          <w:color w:val="auto"/>
        </w:rPr>
        <w:t>Main operating revenue</w:t>
      </w:r>
      <w:r w:rsidRPr="00703540">
        <w:rPr>
          <w:rFonts w:ascii="Arial" w:hAnsi="Arial" w:cs="Arial"/>
          <w:color w:val="auto"/>
        </w:rPr>
        <w:t xml:space="preserve"> categories for the </w:t>
      </w:r>
      <w:r>
        <w:rPr>
          <w:rFonts w:ascii="Arial" w:hAnsi="Arial" w:cs="Arial"/>
          <w:color w:val="auto"/>
        </w:rPr>
        <w:t>20</w:t>
      </w:r>
      <w:r w:rsidR="007F7CE9">
        <w:rPr>
          <w:rFonts w:ascii="Arial" w:hAnsi="Arial" w:cs="Arial"/>
          <w:color w:val="auto"/>
        </w:rPr>
        <w:t>20</w:t>
      </w:r>
      <w:r>
        <w:rPr>
          <w:rFonts w:ascii="Arial" w:hAnsi="Arial" w:cs="Arial"/>
          <w:color w:val="auto"/>
        </w:rPr>
        <w:t>/</w:t>
      </w:r>
      <w:r w:rsidR="00F24A9A">
        <w:rPr>
          <w:rFonts w:ascii="Arial" w:hAnsi="Arial" w:cs="Arial"/>
          <w:color w:val="auto"/>
        </w:rPr>
        <w:t>2</w:t>
      </w:r>
      <w:r w:rsidR="007F7CE9">
        <w:rPr>
          <w:rFonts w:ascii="Arial" w:hAnsi="Arial" w:cs="Arial"/>
          <w:color w:val="auto"/>
        </w:rPr>
        <w:t>1</w:t>
      </w:r>
      <w:r w:rsidRPr="00703540">
        <w:rPr>
          <w:rFonts w:ascii="Arial" w:hAnsi="Arial" w:cs="Arial"/>
          <w:color w:val="auto"/>
        </w:rPr>
        <w:t xml:space="preserve"> financial year</w:t>
      </w:r>
      <w:r w:rsidR="00F24A9A">
        <w:rPr>
          <w:rFonts w:ascii="Arial" w:hAnsi="Arial" w:cs="Arial"/>
          <w:color w:val="auto"/>
        </w:rPr>
        <w:t>:</w:t>
      </w:r>
      <w:r>
        <w:rPr>
          <w:rFonts w:ascii="Arial" w:hAnsi="Arial" w:cs="Arial"/>
          <w:color w:val="auto"/>
        </w:rPr>
        <w:t xml:space="preserve">- </w:t>
      </w:r>
    </w:p>
    <w:p w:rsidR="007F7CE9" w:rsidRPr="005C5D03" w:rsidRDefault="00AA084A" w:rsidP="005C5D03">
      <w:r>
        <w:rPr>
          <w:noProof/>
          <w:lang w:val="en-US" w:eastAsia="en-US"/>
        </w:rPr>
        <w:drawing>
          <wp:inline distT="0" distB="0" distL="0" distR="0" wp14:anchorId="55196C15">
            <wp:extent cx="5742940" cy="61696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2940" cy="6169660"/>
                    </a:xfrm>
                    <a:prstGeom prst="rect">
                      <a:avLst/>
                    </a:prstGeom>
                    <a:noFill/>
                  </pic:spPr>
                </pic:pic>
              </a:graphicData>
            </a:graphic>
          </wp:inline>
        </w:drawing>
      </w:r>
    </w:p>
    <w:p w:rsidR="00AA084A" w:rsidRDefault="00AA084A" w:rsidP="00387B6B">
      <w:pPr>
        <w:pStyle w:val="Heading3"/>
        <w:numPr>
          <w:ilvl w:val="0"/>
          <w:numId w:val="0"/>
        </w:numPr>
        <w:spacing w:line="360" w:lineRule="auto"/>
        <w:rPr>
          <w:rFonts w:ascii="Arial" w:hAnsi="Arial" w:cs="Arial"/>
          <w:color w:val="auto"/>
        </w:rPr>
      </w:pPr>
    </w:p>
    <w:p w:rsidR="00AA084A" w:rsidRDefault="00AA084A" w:rsidP="00387B6B">
      <w:pPr>
        <w:pStyle w:val="Heading3"/>
        <w:numPr>
          <w:ilvl w:val="0"/>
          <w:numId w:val="0"/>
        </w:numPr>
        <w:spacing w:line="360" w:lineRule="auto"/>
        <w:rPr>
          <w:rFonts w:ascii="Arial" w:hAnsi="Arial" w:cs="Arial"/>
          <w:color w:val="auto"/>
        </w:rPr>
      </w:pPr>
    </w:p>
    <w:p w:rsidR="008D6147" w:rsidRDefault="008D6147" w:rsidP="008D6147"/>
    <w:p w:rsidR="008D6147" w:rsidRPr="008D6147" w:rsidRDefault="008D6147" w:rsidP="008D6147"/>
    <w:p w:rsidR="000505DC" w:rsidRPr="00703540" w:rsidRDefault="002216E1" w:rsidP="00387B6B">
      <w:pPr>
        <w:pStyle w:val="Heading3"/>
        <w:numPr>
          <w:ilvl w:val="0"/>
          <w:numId w:val="0"/>
        </w:numPr>
        <w:spacing w:line="360" w:lineRule="auto"/>
        <w:rPr>
          <w:rFonts w:ascii="Arial" w:hAnsi="Arial" w:cs="Arial"/>
          <w:color w:val="auto"/>
        </w:rPr>
      </w:pPr>
      <w:r w:rsidRPr="00703540">
        <w:rPr>
          <w:rFonts w:ascii="Arial" w:hAnsi="Arial" w:cs="Arial"/>
          <w:color w:val="auto"/>
        </w:rPr>
        <w:t xml:space="preserve">Table </w:t>
      </w:r>
      <w:r w:rsidR="007F7CE9">
        <w:rPr>
          <w:rFonts w:ascii="Arial" w:hAnsi="Arial" w:cs="Arial"/>
          <w:color w:val="auto"/>
        </w:rPr>
        <w:t>3:</w:t>
      </w:r>
      <w:r w:rsidRPr="00703540">
        <w:rPr>
          <w:rFonts w:ascii="Arial" w:hAnsi="Arial" w:cs="Arial"/>
          <w:color w:val="auto"/>
        </w:rPr>
        <w:t xml:space="preserve"> </w:t>
      </w:r>
      <w:r w:rsidR="000505DC" w:rsidRPr="00703540">
        <w:rPr>
          <w:rFonts w:ascii="Arial" w:hAnsi="Arial" w:cs="Arial"/>
          <w:color w:val="auto"/>
        </w:rPr>
        <w:t xml:space="preserve"> </w:t>
      </w:r>
      <w:r w:rsidRPr="00703540">
        <w:rPr>
          <w:rFonts w:ascii="Arial" w:hAnsi="Arial" w:cs="Arial"/>
          <w:color w:val="auto"/>
        </w:rPr>
        <w:t>Percentage growth in revenue by main revenue source</w:t>
      </w:r>
      <w:bookmarkEnd w:id="24"/>
      <w:bookmarkEnd w:id="25"/>
      <w:r w:rsidR="00F24A9A">
        <w:rPr>
          <w:rFonts w:ascii="Arial" w:hAnsi="Arial" w:cs="Arial"/>
          <w:color w:val="auto"/>
        </w:rPr>
        <w:t>:-</w:t>
      </w:r>
      <w:r w:rsidR="00D42A9C">
        <w:rPr>
          <w:rFonts w:ascii="Arial" w:hAnsi="Arial" w:cs="Arial"/>
          <w:color w:val="auto"/>
        </w:rPr>
        <w:t xml:space="preserve"> </w:t>
      </w:r>
    </w:p>
    <w:p w:rsidR="007F7CE9" w:rsidRDefault="00AA084A" w:rsidP="00387B6B">
      <w:pPr>
        <w:spacing w:after="0" w:line="360" w:lineRule="auto"/>
        <w:jc w:val="both"/>
        <w:rPr>
          <w:rFonts w:ascii="Arial" w:hAnsi="Arial" w:cs="Arial"/>
        </w:rPr>
      </w:pPr>
      <w:r w:rsidRPr="00AA084A">
        <w:rPr>
          <w:noProof/>
          <w:lang w:val="en-US" w:eastAsia="en-US"/>
        </w:rPr>
        <w:drawing>
          <wp:inline distT="0" distB="0" distL="0" distR="0">
            <wp:extent cx="6377940" cy="3192726"/>
            <wp:effectExtent l="0" t="0" r="381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8943" cy="3198234"/>
                    </a:xfrm>
                    <a:prstGeom prst="rect">
                      <a:avLst/>
                    </a:prstGeom>
                    <a:noFill/>
                    <a:ln>
                      <a:noFill/>
                    </a:ln>
                  </pic:spPr>
                </pic:pic>
              </a:graphicData>
            </a:graphic>
          </wp:inline>
        </w:drawing>
      </w:r>
    </w:p>
    <w:p w:rsidR="001B0C5F" w:rsidRDefault="001B0C5F" w:rsidP="00387B6B">
      <w:pPr>
        <w:spacing w:after="0" w:line="360" w:lineRule="auto"/>
        <w:jc w:val="both"/>
        <w:rPr>
          <w:rFonts w:ascii="Arial" w:hAnsi="Arial" w:cs="Arial"/>
        </w:rPr>
      </w:pPr>
    </w:p>
    <w:p w:rsidR="00BD5CBF" w:rsidRDefault="00113EA6" w:rsidP="00387B6B">
      <w:pPr>
        <w:spacing w:after="0" w:line="360" w:lineRule="auto"/>
        <w:jc w:val="both"/>
        <w:rPr>
          <w:rFonts w:ascii="Arial" w:hAnsi="Arial" w:cs="Arial"/>
        </w:rPr>
      </w:pPr>
      <w:r>
        <w:rPr>
          <w:rFonts w:ascii="Arial" w:hAnsi="Arial" w:cs="Arial"/>
        </w:rPr>
        <w:t>In line with the formats prescribed by the Municipal Budget and Reporting Regulations,</w:t>
      </w:r>
      <w:r w:rsidR="00BD5CBF" w:rsidRPr="00383239">
        <w:rPr>
          <w:rFonts w:ascii="Arial" w:hAnsi="Arial" w:cs="Arial"/>
        </w:rPr>
        <w:t xml:space="preserve"> capital transfers and contributions are </w:t>
      </w:r>
      <w:r w:rsidR="00BD5CBF">
        <w:rPr>
          <w:rFonts w:ascii="Arial" w:hAnsi="Arial" w:cs="Arial"/>
        </w:rPr>
        <w:t>excluded from the operating statement</w:t>
      </w:r>
      <w:r w:rsidR="005644E1">
        <w:rPr>
          <w:rFonts w:ascii="Arial" w:hAnsi="Arial" w:cs="Arial"/>
        </w:rPr>
        <w:t xml:space="preserve"> in order to achieve the correct </w:t>
      </w:r>
      <w:r>
        <w:rPr>
          <w:rFonts w:ascii="Arial" w:hAnsi="Arial" w:cs="Arial"/>
        </w:rPr>
        <w:t xml:space="preserve">calculation of the </w:t>
      </w:r>
      <w:r w:rsidR="00BD5CBF">
        <w:rPr>
          <w:rFonts w:ascii="Arial" w:hAnsi="Arial" w:cs="Arial"/>
        </w:rPr>
        <w:t>operating surplus</w:t>
      </w:r>
      <w:r w:rsidR="009E20DE">
        <w:rPr>
          <w:rFonts w:ascii="Arial" w:hAnsi="Arial" w:cs="Arial"/>
        </w:rPr>
        <w:t>/</w:t>
      </w:r>
      <w:r w:rsidR="00BD5CBF">
        <w:rPr>
          <w:rFonts w:ascii="Arial" w:hAnsi="Arial" w:cs="Arial"/>
        </w:rPr>
        <w:t>deficit.</w:t>
      </w:r>
    </w:p>
    <w:p w:rsidR="00696DFA" w:rsidRDefault="00696DFA" w:rsidP="00387B6B">
      <w:pPr>
        <w:spacing w:after="0" w:line="360" w:lineRule="auto"/>
        <w:jc w:val="both"/>
        <w:rPr>
          <w:rFonts w:ascii="Arial" w:hAnsi="Arial" w:cs="Arial"/>
        </w:rPr>
      </w:pPr>
    </w:p>
    <w:p w:rsidR="00322D5D" w:rsidRDefault="00CD2B80" w:rsidP="00387B6B">
      <w:pPr>
        <w:spacing w:after="0" w:line="360" w:lineRule="auto"/>
        <w:jc w:val="both"/>
        <w:rPr>
          <w:rFonts w:ascii="Arial" w:hAnsi="Arial" w:cs="Arial"/>
        </w:rPr>
      </w:pPr>
      <w:r>
        <w:rPr>
          <w:rFonts w:ascii="Arial" w:hAnsi="Arial" w:cs="Arial"/>
        </w:rPr>
        <w:t>Transfers recognised operation</w:t>
      </w:r>
      <w:r w:rsidR="00B85344">
        <w:rPr>
          <w:rFonts w:ascii="Arial" w:hAnsi="Arial" w:cs="Arial"/>
        </w:rPr>
        <w:t>al</w:t>
      </w:r>
      <w:r>
        <w:rPr>
          <w:rFonts w:ascii="Arial" w:hAnsi="Arial" w:cs="Arial"/>
        </w:rPr>
        <w:t xml:space="preserve"> which </w:t>
      </w:r>
      <w:r w:rsidR="008A5C4D">
        <w:rPr>
          <w:rFonts w:ascii="Arial" w:hAnsi="Arial" w:cs="Arial"/>
        </w:rPr>
        <w:t>are in fact operati</w:t>
      </w:r>
      <w:r w:rsidR="00946222">
        <w:rPr>
          <w:rFonts w:ascii="Arial" w:hAnsi="Arial" w:cs="Arial"/>
        </w:rPr>
        <w:t xml:space="preserve">ng </w:t>
      </w:r>
      <w:r>
        <w:rPr>
          <w:rFonts w:ascii="Arial" w:hAnsi="Arial" w:cs="Arial"/>
        </w:rPr>
        <w:t>grant</w:t>
      </w:r>
      <w:r w:rsidR="00946222">
        <w:rPr>
          <w:rFonts w:ascii="Arial" w:hAnsi="Arial" w:cs="Arial"/>
        </w:rPr>
        <w:t>s</w:t>
      </w:r>
      <w:r w:rsidR="005644E1">
        <w:rPr>
          <w:rFonts w:ascii="Arial" w:hAnsi="Arial" w:cs="Arial"/>
        </w:rPr>
        <w:t>,</w:t>
      </w:r>
      <w:r>
        <w:rPr>
          <w:rFonts w:ascii="Arial" w:hAnsi="Arial" w:cs="Arial"/>
        </w:rPr>
        <w:t xml:space="preserve"> </w:t>
      </w:r>
      <w:r w:rsidR="008A5C4D">
        <w:rPr>
          <w:rFonts w:ascii="Arial" w:hAnsi="Arial" w:cs="Arial"/>
        </w:rPr>
        <w:t xml:space="preserve">are </w:t>
      </w:r>
      <w:r>
        <w:rPr>
          <w:rFonts w:ascii="Arial" w:hAnsi="Arial" w:cs="Arial"/>
        </w:rPr>
        <w:t xml:space="preserve">the main revenue stream </w:t>
      </w:r>
      <w:r w:rsidR="008A5C4D">
        <w:rPr>
          <w:rFonts w:ascii="Arial" w:hAnsi="Arial" w:cs="Arial"/>
        </w:rPr>
        <w:t xml:space="preserve">and </w:t>
      </w:r>
      <w:r w:rsidR="00A87878">
        <w:rPr>
          <w:rFonts w:ascii="Arial" w:hAnsi="Arial" w:cs="Arial"/>
        </w:rPr>
        <w:t xml:space="preserve">constitute </w:t>
      </w:r>
      <w:r w:rsidR="00166DB5">
        <w:rPr>
          <w:rFonts w:ascii="Arial" w:hAnsi="Arial" w:cs="Arial"/>
        </w:rPr>
        <w:t>5</w:t>
      </w:r>
      <w:r w:rsidR="009F3D45">
        <w:rPr>
          <w:rFonts w:ascii="Arial" w:hAnsi="Arial" w:cs="Arial"/>
        </w:rPr>
        <w:t>6</w:t>
      </w:r>
      <w:r w:rsidR="001977D2" w:rsidRPr="001977D2">
        <w:rPr>
          <w:rFonts w:ascii="Arial" w:hAnsi="Arial" w:cs="Arial"/>
        </w:rPr>
        <w:t>.</w:t>
      </w:r>
      <w:r w:rsidR="009F3D45">
        <w:rPr>
          <w:rFonts w:ascii="Arial" w:hAnsi="Arial" w:cs="Arial"/>
        </w:rPr>
        <w:t>8</w:t>
      </w:r>
      <w:r w:rsidR="005C5D03">
        <w:rPr>
          <w:rFonts w:ascii="Arial" w:hAnsi="Arial" w:cs="Arial"/>
        </w:rPr>
        <w:t xml:space="preserve"> </w:t>
      </w:r>
      <w:r w:rsidR="00D42A9C">
        <w:rPr>
          <w:rFonts w:ascii="Arial" w:hAnsi="Arial" w:cs="Arial"/>
        </w:rPr>
        <w:t xml:space="preserve">% </w:t>
      </w:r>
      <w:r w:rsidR="008742DE">
        <w:rPr>
          <w:rFonts w:ascii="Arial" w:hAnsi="Arial" w:cs="Arial"/>
        </w:rPr>
        <w:t>of the total operating revenue of the municipality</w:t>
      </w:r>
      <w:r w:rsidR="007E26AB">
        <w:rPr>
          <w:rFonts w:ascii="Arial" w:hAnsi="Arial" w:cs="Arial"/>
        </w:rPr>
        <w:t xml:space="preserve"> </w:t>
      </w:r>
      <w:r w:rsidR="00E669AC">
        <w:rPr>
          <w:rFonts w:ascii="Arial" w:hAnsi="Arial" w:cs="Arial"/>
        </w:rPr>
        <w:t>amounting</w:t>
      </w:r>
      <w:r w:rsidR="005C5D03">
        <w:rPr>
          <w:rFonts w:ascii="Arial" w:hAnsi="Arial" w:cs="Arial"/>
        </w:rPr>
        <w:t xml:space="preserve"> to</w:t>
      </w:r>
      <w:r w:rsidR="007E26AB">
        <w:rPr>
          <w:rFonts w:ascii="Arial" w:hAnsi="Arial" w:cs="Arial"/>
        </w:rPr>
        <w:t xml:space="preserve"> R</w:t>
      </w:r>
      <w:r w:rsidR="005C5D03">
        <w:rPr>
          <w:rFonts w:ascii="Arial" w:hAnsi="Arial" w:cs="Arial"/>
        </w:rPr>
        <w:t xml:space="preserve"> </w:t>
      </w:r>
      <w:r w:rsidR="005A6766" w:rsidRPr="001977D2">
        <w:rPr>
          <w:rFonts w:ascii="Arial" w:hAnsi="Arial" w:cs="Arial"/>
        </w:rPr>
        <w:t>6</w:t>
      </w:r>
      <w:r w:rsidR="00476B39">
        <w:rPr>
          <w:rFonts w:ascii="Arial" w:hAnsi="Arial" w:cs="Arial"/>
        </w:rPr>
        <w:t>49</w:t>
      </w:r>
      <w:r w:rsidR="001977D2" w:rsidRPr="001977D2">
        <w:rPr>
          <w:rFonts w:ascii="Arial" w:hAnsi="Arial" w:cs="Arial"/>
        </w:rPr>
        <w:t>.</w:t>
      </w:r>
      <w:r w:rsidR="00166DB5">
        <w:rPr>
          <w:rFonts w:ascii="Arial" w:hAnsi="Arial" w:cs="Arial"/>
        </w:rPr>
        <w:t>9</w:t>
      </w:r>
      <w:r w:rsidR="007E26AB" w:rsidRPr="000D3333">
        <w:rPr>
          <w:rFonts w:ascii="Arial" w:hAnsi="Arial" w:cs="Arial"/>
          <w:color w:val="FF0000"/>
        </w:rPr>
        <w:t xml:space="preserve"> </w:t>
      </w:r>
      <w:r w:rsidR="007E26AB">
        <w:rPr>
          <w:rFonts w:ascii="Arial" w:hAnsi="Arial" w:cs="Arial"/>
        </w:rPr>
        <w:t>million</w:t>
      </w:r>
      <w:r w:rsidR="008742DE">
        <w:rPr>
          <w:rFonts w:ascii="Arial" w:hAnsi="Arial" w:cs="Arial"/>
        </w:rPr>
        <w:t>.</w:t>
      </w:r>
      <w:r>
        <w:rPr>
          <w:rFonts w:ascii="Arial" w:hAnsi="Arial" w:cs="Arial"/>
        </w:rPr>
        <w:t xml:space="preserve"> </w:t>
      </w:r>
      <w:r w:rsidR="00CE704D">
        <w:rPr>
          <w:rFonts w:ascii="Arial" w:hAnsi="Arial" w:cs="Arial"/>
        </w:rPr>
        <w:t xml:space="preserve">In </w:t>
      </w:r>
      <w:r w:rsidR="006706E5">
        <w:rPr>
          <w:rFonts w:ascii="Arial" w:hAnsi="Arial" w:cs="Arial"/>
        </w:rPr>
        <w:t>20</w:t>
      </w:r>
      <w:r w:rsidR="00166DB5">
        <w:rPr>
          <w:rFonts w:ascii="Arial" w:hAnsi="Arial" w:cs="Arial"/>
        </w:rPr>
        <w:t>20</w:t>
      </w:r>
      <w:r w:rsidR="006706E5">
        <w:rPr>
          <w:rFonts w:ascii="Arial" w:hAnsi="Arial" w:cs="Arial"/>
        </w:rPr>
        <w:t>/</w:t>
      </w:r>
      <w:r w:rsidR="000D3333">
        <w:rPr>
          <w:rFonts w:ascii="Arial" w:hAnsi="Arial" w:cs="Arial"/>
        </w:rPr>
        <w:t>2</w:t>
      </w:r>
      <w:r w:rsidR="00166DB5">
        <w:rPr>
          <w:rFonts w:ascii="Arial" w:hAnsi="Arial" w:cs="Arial"/>
        </w:rPr>
        <w:t>1</w:t>
      </w:r>
      <w:r w:rsidR="00CE704D">
        <w:rPr>
          <w:rFonts w:ascii="Arial" w:hAnsi="Arial" w:cs="Arial"/>
        </w:rPr>
        <w:t xml:space="preserve"> financial year</w:t>
      </w:r>
      <w:r w:rsidR="00E661CF">
        <w:rPr>
          <w:rFonts w:ascii="Arial" w:hAnsi="Arial" w:cs="Arial"/>
        </w:rPr>
        <w:t>,</w:t>
      </w:r>
      <w:r w:rsidR="00CE704D">
        <w:rPr>
          <w:rFonts w:ascii="Arial" w:hAnsi="Arial" w:cs="Arial"/>
        </w:rPr>
        <w:t xml:space="preserve"> </w:t>
      </w:r>
      <w:r w:rsidR="00210698">
        <w:rPr>
          <w:rFonts w:ascii="Arial" w:hAnsi="Arial" w:cs="Arial"/>
        </w:rPr>
        <w:t>revenue</w:t>
      </w:r>
      <w:r w:rsidR="00270473">
        <w:rPr>
          <w:rFonts w:ascii="Arial" w:hAnsi="Arial" w:cs="Arial"/>
        </w:rPr>
        <w:t xml:space="preserve"> from</w:t>
      </w:r>
      <w:r w:rsidR="00210698">
        <w:rPr>
          <w:rFonts w:ascii="Arial" w:hAnsi="Arial" w:cs="Arial"/>
        </w:rPr>
        <w:t xml:space="preserve"> </w:t>
      </w:r>
      <w:r w:rsidR="007E26AB">
        <w:rPr>
          <w:rFonts w:ascii="Arial" w:hAnsi="Arial" w:cs="Arial"/>
        </w:rPr>
        <w:t>water</w:t>
      </w:r>
      <w:r w:rsidR="00C26BF5">
        <w:rPr>
          <w:rFonts w:ascii="Arial" w:hAnsi="Arial" w:cs="Arial"/>
        </w:rPr>
        <w:t xml:space="preserve"> </w:t>
      </w:r>
      <w:r w:rsidR="000C3DBD">
        <w:rPr>
          <w:rFonts w:ascii="Arial" w:hAnsi="Arial" w:cs="Arial"/>
        </w:rPr>
        <w:t>services charge</w:t>
      </w:r>
      <w:r w:rsidR="00210698">
        <w:rPr>
          <w:rFonts w:ascii="Arial" w:hAnsi="Arial" w:cs="Arial"/>
        </w:rPr>
        <w:t>s</w:t>
      </w:r>
      <w:r w:rsidR="00B70184">
        <w:rPr>
          <w:rFonts w:ascii="Arial" w:hAnsi="Arial" w:cs="Arial"/>
        </w:rPr>
        <w:t xml:space="preserve"> was estimated at </w:t>
      </w:r>
      <w:r w:rsidR="00CE704D" w:rsidRPr="008A5C4D">
        <w:rPr>
          <w:rFonts w:ascii="Arial" w:hAnsi="Arial" w:cs="Arial"/>
        </w:rPr>
        <w:t>R</w:t>
      </w:r>
      <w:r w:rsidR="005C5D03">
        <w:rPr>
          <w:rFonts w:ascii="Arial" w:hAnsi="Arial" w:cs="Arial"/>
        </w:rPr>
        <w:t xml:space="preserve"> </w:t>
      </w:r>
      <w:r w:rsidR="00B70184">
        <w:rPr>
          <w:rFonts w:ascii="Arial" w:hAnsi="Arial" w:cs="Arial"/>
        </w:rPr>
        <w:t>2</w:t>
      </w:r>
      <w:r w:rsidR="00476B39">
        <w:rPr>
          <w:rFonts w:ascii="Arial" w:hAnsi="Arial" w:cs="Arial"/>
        </w:rPr>
        <w:t>63</w:t>
      </w:r>
      <w:r w:rsidR="001977D2" w:rsidRPr="001977D2">
        <w:rPr>
          <w:rFonts w:ascii="Arial" w:hAnsi="Arial" w:cs="Arial"/>
        </w:rPr>
        <w:t>.</w:t>
      </w:r>
      <w:r w:rsidR="00476B39">
        <w:rPr>
          <w:rFonts w:ascii="Arial" w:hAnsi="Arial" w:cs="Arial"/>
        </w:rPr>
        <w:t>8</w:t>
      </w:r>
      <w:r w:rsidR="007E26AB" w:rsidRPr="000D3333">
        <w:rPr>
          <w:rFonts w:ascii="Arial" w:hAnsi="Arial" w:cs="Arial"/>
          <w:color w:val="FF0000"/>
        </w:rPr>
        <w:t xml:space="preserve"> </w:t>
      </w:r>
      <w:r w:rsidR="007E26AB" w:rsidRPr="008A5C4D">
        <w:rPr>
          <w:rFonts w:ascii="Arial" w:hAnsi="Arial" w:cs="Arial"/>
        </w:rPr>
        <w:t>mi</w:t>
      </w:r>
      <w:r w:rsidR="00CE704D" w:rsidRPr="008A5C4D">
        <w:rPr>
          <w:rFonts w:ascii="Arial" w:hAnsi="Arial" w:cs="Arial"/>
        </w:rPr>
        <w:t xml:space="preserve">llion or </w:t>
      </w:r>
      <w:r w:rsidR="00B70184">
        <w:rPr>
          <w:rFonts w:ascii="Arial" w:hAnsi="Arial" w:cs="Arial"/>
        </w:rPr>
        <w:t>2</w:t>
      </w:r>
      <w:r w:rsidR="00476B39">
        <w:rPr>
          <w:rFonts w:ascii="Arial" w:hAnsi="Arial" w:cs="Arial"/>
        </w:rPr>
        <w:t>3</w:t>
      </w:r>
      <w:r w:rsidR="001977D2" w:rsidRPr="001977D2">
        <w:rPr>
          <w:rFonts w:ascii="Arial" w:hAnsi="Arial" w:cs="Arial"/>
        </w:rPr>
        <w:t>.</w:t>
      </w:r>
      <w:r w:rsidR="00B70184">
        <w:rPr>
          <w:rFonts w:ascii="Arial" w:hAnsi="Arial" w:cs="Arial"/>
        </w:rPr>
        <w:t>1</w:t>
      </w:r>
      <w:r w:rsidR="00CE704D" w:rsidRPr="008A5C4D">
        <w:rPr>
          <w:rFonts w:ascii="Arial" w:hAnsi="Arial" w:cs="Arial"/>
        </w:rPr>
        <w:t xml:space="preserve"> </w:t>
      </w:r>
      <w:r w:rsidR="00DB75E5">
        <w:rPr>
          <w:rFonts w:ascii="Arial" w:hAnsi="Arial" w:cs="Arial"/>
        </w:rPr>
        <w:t xml:space="preserve">% </w:t>
      </w:r>
      <w:r w:rsidR="008A5C4D" w:rsidRPr="008A5C4D">
        <w:rPr>
          <w:rFonts w:ascii="Arial" w:hAnsi="Arial" w:cs="Arial"/>
        </w:rPr>
        <w:t>of total operating revenue</w:t>
      </w:r>
      <w:r w:rsidR="00DB75E5">
        <w:rPr>
          <w:rFonts w:ascii="Arial" w:hAnsi="Arial" w:cs="Arial"/>
        </w:rPr>
        <w:t xml:space="preserve"> and sanitation services </w:t>
      </w:r>
      <w:r w:rsidR="00726281">
        <w:rPr>
          <w:rFonts w:ascii="Arial" w:hAnsi="Arial" w:cs="Arial"/>
        </w:rPr>
        <w:t xml:space="preserve">are </w:t>
      </w:r>
      <w:r w:rsidR="00B70184">
        <w:rPr>
          <w:rFonts w:ascii="Arial" w:hAnsi="Arial" w:cs="Arial"/>
        </w:rPr>
        <w:t xml:space="preserve">R </w:t>
      </w:r>
      <w:r w:rsidR="00726281">
        <w:rPr>
          <w:rFonts w:ascii="Arial" w:hAnsi="Arial" w:cs="Arial"/>
        </w:rPr>
        <w:t>6</w:t>
      </w:r>
      <w:r w:rsidR="00476B39">
        <w:rPr>
          <w:rFonts w:ascii="Arial" w:hAnsi="Arial" w:cs="Arial"/>
        </w:rPr>
        <w:t>5</w:t>
      </w:r>
      <w:r w:rsidR="00726281">
        <w:rPr>
          <w:rFonts w:ascii="Arial" w:hAnsi="Arial" w:cs="Arial"/>
        </w:rPr>
        <w:t>.</w:t>
      </w:r>
      <w:r w:rsidR="00476B39">
        <w:rPr>
          <w:rFonts w:ascii="Arial" w:hAnsi="Arial" w:cs="Arial"/>
        </w:rPr>
        <w:t>2</w:t>
      </w:r>
      <w:r w:rsidR="00B70184">
        <w:rPr>
          <w:rFonts w:ascii="Arial" w:hAnsi="Arial" w:cs="Arial"/>
        </w:rPr>
        <w:t xml:space="preserve"> million</w:t>
      </w:r>
      <w:r w:rsidR="00726281">
        <w:rPr>
          <w:rFonts w:ascii="Arial" w:hAnsi="Arial" w:cs="Arial"/>
        </w:rPr>
        <w:t xml:space="preserve"> and </w:t>
      </w:r>
      <w:r w:rsidR="00DB75E5">
        <w:rPr>
          <w:rFonts w:ascii="Arial" w:hAnsi="Arial" w:cs="Arial"/>
        </w:rPr>
        <w:t>constitute</w:t>
      </w:r>
      <w:r w:rsidR="000D3333">
        <w:rPr>
          <w:rFonts w:ascii="Arial" w:hAnsi="Arial" w:cs="Arial"/>
        </w:rPr>
        <w:t xml:space="preserve"> </w:t>
      </w:r>
      <w:r w:rsidR="00B70184">
        <w:rPr>
          <w:rFonts w:ascii="Arial" w:hAnsi="Arial" w:cs="Arial"/>
        </w:rPr>
        <w:t>5.</w:t>
      </w:r>
      <w:r w:rsidR="00476B39">
        <w:rPr>
          <w:rFonts w:ascii="Arial" w:hAnsi="Arial" w:cs="Arial"/>
        </w:rPr>
        <w:t>7</w:t>
      </w:r>
      <w:r w:rsidR="00D747D2">
        <w:rPr>
          <w:rFonts w:ascii="Arial" w:hAnsi="Arial" w:cs="Arial"/>
        </w:rPr>
        <w:t xml:space="preserve"> </w:t>
      </w:r>
      <w:r w:rsidR="000B14ED">
        <w:rPr>
          <w:rFonts w:ascii="Arial" w:hAnsi="Arial" w:cs="Arial"/>
        </w:rPr>
        <w:t>% of the total operating revenue</w:t>
      </w:r>
      <w:r w:rsidR="000C3DBD" w:rsidRPr="008A5C4D">
        <w:rPr>
          <w:rFonts w:ascii="Arial" w:hAnsi="Arial" w:cs="Arial"/>
        </w:rPr>
        <w:t>.  Th</w:t>
      </w:r>
      <w:r w:rsidR="0045794A">
        <w:rPr>
          <w:rFonts w:ascii="Arial" w:hAnsi="Arial" w:cs="Arial"/>
        </w:rPr>
        <w:t>e water revenue i</w:t>
      </w:r>
      <w:r w:rsidR="000C3DBD" w:rsidRPr="008A5C4D">
        <w:rPr>
          <w:rFonts w:ascii="Arial" w:hAnsi="Arial" w:cs="Arial"/>
        </w:rPr>
        <w:t xml:space="preserve">ncreases </w:t>
      </w:r>
      <w:r w:rsidR="00CE704D" w:rsidRPr="008A5C4D">
        <w:rPr>
          <w:rFonts w:ascii="Arial" w:hAnsi="Arial" w:cs="Arial"/>
        </w:rPr>
        <w:t>to</w:t>
      </w:r>
      <w:r w:rsidR="005644E1" w:rsidRPr="008A5C4D">
        <w:rPr>
          <w:rFonts w:ascii="Arial" w:hAnsi="Arial" w:cs="Arial"/>
        </w:rPr>
        <w:t xml:space="preserve"> </w:t>
      </w:r>
      <w:r w:rsidR="00CE704D" w:rsidRPr="008A5C4D">
        <w:rPr>
          <w:rFonts w:ascii="Arial" w:hAnsi="Arial" w:cs="Arial"/>
        </w:rPr>
        <w:t>R</w:t>
      </w:r>
      <w:r w:rsidR="00D747D2">
        <w:rPr>
          <w:rFonts w:ascii="Arial" w:hAnsi="Arial" w:cs="Arial"/>
        </w:rPr>
        <w:t xml:space="preserve"> </w:t>
      </w:r>
      <w:r w:rsidR="00B70184">
        <w:rPr>
          <w:rFonts w:ascii="Arial" w:hAnsi="Arial" w:cs="Arial"/>
        </w:rPr>
        <w:t>2</w:t>
      </w:r>
      <w:r w:rsidR="00726281" w:rsidRPr="00726281">
        <w:rPr>
          <w:rFonts w:ascii="Arial" w:hAnsi="Arial" w:cs="Arial"/>
        </w:rPr>
        <w:t>6</w:t>
      </w:r>
      <w:r w:rsidR="00B70184">
        <w:rPr>
          <w:rFonts w:ascii="Arial" w:hAnsi="Arial" w:cs="Arial"/>
        </w:rPr>
        <w:t>9</w:t>
      </w:r>
      <w:r w:rsidR="00D747D2" w:rsidRPr="00726281">
        <w:rPr>
          <w:rFonts w:ascii="Arial" w:hAnsi="Arial" w:cs="Arial"/>
        </w:rPr>
        <w:t>.</w:t>
      </w:r>
      <w:r w:rsidR="00B70184">
        <w:rPr>
          <w:rFonts w:ascii="Arial" w:hAnsi="Arial" w:cs="Arial"/>
        </w:rPr>
        <w:t>3</w:t>
      </w:r>
      <w:r w:rsidR="007E26AB" w:rsidRPr="000D3333">
        <w:rPr>
          <w:rFonts w:ascii="Arial" w:hAnsi="Arial" w:cs="Arial"/>
          <w:color w:val="FF0000"/>
        </w:rPr>
        <w:t xml:space="preserve"> </w:t>
      </w:r>
      <w:r w:rsidR="00CE704D" w:rsidRPr="008A5C4D">
        <w:rPr>
          <w:rFonts w:ascii="Arial" w:hAnsi="Arial" w:cs="Arial"/>
        </w:rPr>
        <w:t>and R</w:t>
      </w:r>
      <w:r w:rsidR="00D747D2">
        <w:rPr>
          <w:rFonts w:ascii="Arial" w:hAnsi="Arial" w:cs="Arial"/>
        </w:rPr>
        <w:t xml:space="preserve"> </w:t>
      </w:r>
      <w:r w:rsidR="00D747D2" w:rsidRPr="00726281">
        <w:rPr>
          <w:rFonts w:ascii="Arial" w:hAnsi="Arial" w:cs="Arial"/>
        </w:rPr>
        <w:t>2</w:t>
      </w:r>
      <w:r w:rsidR="00B70184">
        <w:rPr>
          <w:rFonts w:ascii="Arial" w:hAnsi="Arial" w:cs="Arial"/>
        </w:rPr>
        <w:t>82</w:t>
      </w:r>
      <w:r w:rsidR="00D747D2" w:rsidRPr="00726281">
        <w:rPr>
          <w:rFonts w:ascii="Arial" w:hAnsi="Arial" w:cs="Arial"/>
        </w:rPr>
        <w:t>.</w:t>
      </w:r>
      <w:r w:rsidR="00B70184">
        <w:rPr>
          <w:rFonts w:ascii="Arial" w:hAnsi="Arial" w:cs="Arial"/>
        </w:rPr>
        <w:t>8</w:t>
      </w:r>
      <w:r w:rsidR="007E26AB" w:rsidRPr="000D3333">
        <w:rPr>
          <w:rFonts w:ascii="Arial" w:hAnsi="Arial" w:cs="Arial"/>
          <w:color w:val="FF0000"/>
        </w:rPr>
        <w:t xml:space="preserve"> </w:t>
      </w:r>
      <w:r w:rsidR="007E26AB" w:rsidRPr="008A5C4D">
        <w:rPr>
          <w:rFonts w:ascii="Arial" w:hAnsi="Arial" w:cs="Arial"/>
        </w:rPr>
        <w:t>m</w:t>
      </w:r>
      <w:r w:rsidR="00CE704D" w:rsidRPr="008A5C4D">
        <w:rPr>
          <w:rFonts w:ascii="Arial" w:hAnsi="Arial" w:cs="Arial"/>
        </w:rPr>
        <w:t xml:space="preserve">illion in the respective </w:t>
      </w:r>
      <w:r w:rsidR="005644E1" w:rsidRPr="008A5C4D">
        <w:rPr>
          <w:rFonts w:ascii="Arial" w:hAnsi="Arial" w:cs="Arial"/>
        </w:rPr>
        <w:t xml:space="preserve">outer </w:t>
      </w:r>
      <w:r w:rsidR="00CE704D" w:rsidRPr="008A5C4D">
        <w:rPr>
          <w:rFonts w:ascii="Arial" w:hAnsi="Arial" w:cs="Arial"/>
        </w:rPr>
        <w:t xml:space="preserve">financial years of the MTREF. </w:t>
      </w:r>
      <w:r w:rsidR="007E26AB" w:rsidRPr="008A5C4D">
        <w:rPr>
          <w:rFonts w:ascii="Arial" w:hAnsi="Arial" w:cs="Arial"/>
        </w:rPr>
        <w:t>The municipality has projec</w:t>
      </w:r>
      <w:r w:rsidR="002E73AD">
        <w:rPr>
          <w:rFonts w:ascii="Arial" w:hAnsi="Arial" w:cs="Arial"/>
        </w:rPr>
        <w:t xml:space="preserve">ted an annual </w:t>
      </w:r>
      <w:r w:rsidR="00D747D2">
        <w:rPr>
          <w:rFonts w:ascii="Arial" w:hAnsi="Arial" w:cs="Arial"/>
        </w:rPr>
        <w:t>decrease</w:t>
      </w:r>
      <w:r w:rsidR="00A87878">
        <w:rPr>
          <w:rFonts w:ascii="Arial" w:hAnsi="Arial" w:cs="Arial"/>
        </w:rPr>
        <w:t xml:space="preserve"> in </w:t>
      </w:r>
      <w:r w:rsidR="00A87878" w:rsidRPr="00F16ED7">
        <w:rPr>
          <w:rFonts w:ascii="Arial" w:hAnsi="Arial" w:cs="Arial"/>
        </w:rPr>
        <w:t xml:space="preserve">revenue at </w:t>
      </w:r>
      <w:r w:rsidR="00476B39">
        <w:rPr>
          <w:rFonts w:ascii="Arial" w:hAnsi="Arial" w:cs="Arial"/>
        </w:rPr>
        <w:t>3</w:t>
      </w:r>
      <w:r w:rsidR="00D747D2">
        <w:rPr>
          <w:rFonts w:ascii="Arial" w:hAnsi="Arial" w:cs="Arial"/>
        </w:rPr>
        <w:t xml:space="preserve"> </w:t>
      </w:r>
      <w:r w:rsidR="00D42A9C">
        <w:rPr>
          <w:rFonts w:ascii="Arial" w:hAnsi="Arial" w:cs="Arial"/>
        </w:rPr>
        <w:t>%</w:t>
      </w:r>
      <w:r w:rsidR="008A5C4D" w:rsidRPr="00F16ED7">
        <w:rPr>
          <w:rFonts w:ascii="Arial" w:hAnsi="Arial" w:cs="Arial"/>
        </w:rPr>
        <w:t>,</w:t>
      </w:r>
      <w:r w:rsidR="002E73AD">
        <w:rPr>
          <w:rFonts w:ascii="Arial" w:hAnsi="Arial" w:cs="Arial"/>
        </w:rPr>
        <w:t xml:space="preserve"> and</w:t>
      </w:r>
      <w:r w:rsidR="00D747D2">
        <w:rPr>
          <w:rFonts w:ascii="Arial" w:hAnsi="Arial" w:cs="Arial"/>
        </w:rPr>
        <w:t xml:space="preserve"> an increase of </w:t>
      </w:r>
      <w:r w:rsidR="00476B39">
        <w:rPr>
          <w:rFonts w:ascii="Arial" w:hAnsi="Arial" w:cs="Arial"/>
        </w:rPr>
        <w:t>2</w:t>
      </w:r>
      <w:r w:rsidR="00D747D2">
        <w:rPr>
          <w:rFonts w:ascii="Arial" w:hAnsi="Arial" w:cs="Arial"/>
        </w:rPr>
        <w:t xml:space="preserve"> % and </w:t>
      </w:r>
      <w:r w:rsidR="00B70184">
        <w:rPr>
          <w:rFonts w:ascii="Arial" w:hAnsi="Arial" w:cs="Arial"/>
        </w:rPr>
        <w:t>9</w:t>
      </w:r>
      <w:r w:rsidR="00D747D2">
        <w:rPr>
          <w:rFonts w:ascii="Arial" w:hAnsi="Arial" w:cs="Arial"/>
        </w:rPr>
        <w:t xml:space="preserve"> % for </w:t>
      </w:r>
      <w:r w:rsidR="002E73AD">
        <w:rPr>
          <w:rFonts w:ascii="Arial" w:hAnsi="Arial" w:cs="Arial"/>
        </w:rPr>
        <w:t>the two outer years</w:t>
      </w:r>
      <w:r w:rsidR="00D747D2">
        <w:rPr>
          <w:rFonts w:ascii="Arial" w:hAnsi="Arial" w:cs="Arial"/>
        </w:rPr>
        <w:t xml:space="preserve"> respectively</w:t>
      </w:r>
      <w:r w:rsidR="0024355F">
        <w:rPr>
          <w:rFonts w:ascii="Arial" w:hAnsi="Arial" w:cs="Arial"/>
        </w:rPr>
        <w:t xml:space="preserve">, </w:t>
      </w:r>
      <w:r w:rsidR="0071678E">
        <w:rPr>
          <w:rFonts w:ascii="Arial" w:hAnsi="Arial" w:cs="Arial"/>
        </w:rPr>
        <w:t xml:space="preserve">and </w:t>
      </w:r>
      <w:r w:rsidR="007E26AB" w:rsidRPr="00F16ED7">
        <w:rPr>
          <w:rFonts w:ascii="Arial" w:hAnsi="Arial" w:cs="Arial"/>
        </w:rPr>
        <w:t xml:space="preserve">is based on the </w:t>
      </w:r>
      <w:r w:rsidR="00B70184">
        <w:rPr>
          <w:rFonts w:ascii="Arial" w:hAnsi="Arial" w:cs="Arial"/>
        </w:rPr>
        <w:t>expected ch</w:t>
      </w:r>
      <w:r w:rsidR="007E26AB" w:rsidRPr="00F16ED7">
        <w:rPr>
          <w:rFonts w:ascii="Arial" w:hAnsi="Arial" w:cs="Arial"/>
        </w:rPr>
        <w:t>a</w:t>
      </w:r>
      <w:r w:rsidR="00B70184">
        <w:rPr>
          <w:rFonts w:ascii="Arial" w:hAnsi="Arial" w:cs="Arial"/>
        </w:rPr>
        <w:t>nges</w:t>
      </w:r>
      <w:r w:rsidR="007E26AB" w:rsidRPr="00F16ED7">
        <w:rPr>
          <w:rFonts w:ascii="Arial" w:hAnsi="Arial" w:cs="Arial"/>
        </w:rPr>
        <w:t xml:space="preserve"> in the tariffs charged</w:t>
      </w:r>
      <w:r w:rsidR="00B82BB2" w:rsidRPr="00F16ED7">
        <w:rPr>
          <w:rFonts w:ascii="Arial" w:hAnsi="Arial" w:cs="Arial"/>
        </w:rPr>
        <w:t xml:space="preserve"> and improvement in the </w:t>
      </w:r>
      <w:r w:rsidR="0071678E">
        <w:rPr>
          <w:rFonts w:ascii="Arial" w:hAnsi="Arial" w:cs="Arial"/>
        </w:rPr>
        <w:t xml:space="preserve">collection </w:t>
      </w:r>
      <w:r w:rsidR="00F16ED7" w:rsidRPr="00F16ED7">
        <w:rPr>
          <w:rFonts w:ascii="Arial" w:hAnsi="Arial" w:cs="Arial"/>
        </w:rPr>
        <w:t>rate</w:t>
      </w:r>
      <w:r w:rsidR="00D42A9C">
        <w:rPr>
          <w:rFonts w:ascii="Arial" w:hAnsi="Arial" w:cs="Arial"/>
        </w:rPr>
        <w:t xml:space="preserve"> and accuracy</w:t>
      </w:r>
      <w:r w:rsidR="00F16ED7" w:rsidRPr="00F16ED7">
        <w:rPr>
          <w:rFonts w:ascii="Arial" w:hAnsi="Arial" w:cs="Arial"/>
        </w:rPr>
        <w:t xml:space="preserve"> of billing</w:t>
      </w:r>
      <w:r w:rsidR="00CE704D" w:rsidRPr="00F16ED7">
        <w:rPr>
          <w:rFonts w:ascii="Arial" w:hAnsi="Arial" w:cs="Arial"/>
        </w:rPr>
        <w:t>.</w:t>
      </w:r>
      <w:r w:rsidR="000C3DBD" w:rsidRPr="00F16ED7">
        <w:rPr>
          <w:rFonts w:ascii="Arial" w:hAnsi="Arial" w:cs="Arial"/>
        </w:rPr>
        <w:t xml:space="preserve"> </w:t>
      </w:r>
      <w:r w:rsidR="00392DC0">
        <w:rPr>
          <w:rFonts w:ascii="Arial" w:hAnsi="Arial" w:cs="Arial"/>
        </w:rPr>
        <w:t xml:space="preserve">An effective </w:t>
      </w:r>
      <w:r w:rsidR="007E26AB">
        <w:rPr>
          <w:rFonts w:ascii="Arial" w:hAnsi="Arial" w:cs="Arial"/>
        </w:rPr>
        <w:t>revenue enhancement strategy will improve the collection rate of the budgeted</w:t>
      </w:r>
      <w:r w:rsidR="00B82BB2">
        <w:rPr>
          <w:rFonts w:ascii="Arial" w:hAnsi="Arial" w:cs="Arial"/>
        </w:rPr>
        <w:t xml:space="preserve"> revenue</w:t>
      </w:r>
      <w:r w:rsidR="007E26AB">
        <w:rPr>
          <w:rFonts w:ascii="Arial" w:hAnsi="Arial" w:cs="Arial"/>
        </w:rPr>
        <w:t xml:space="preserve"> by the municipality.</w:t>
      </w:r>
    </w:p>
    <w:p w:rsidR="0093787F" w:rsidRDefault="0093787F" w:rsidP="00387B6B">
      <w:pPr>
        <w:spacing w:after="0" w:line="360" w:lineRule="auto"/>
        <w:jc w:val="both"/>
        <w:rPr>
          <w:rFonts w:ascii="Arial" w:hAnsi="Arial" w:cs="Arial"/>
        </w:rPr>
      </w:pPr>
    </w:p>
    <w:p w:rsidR="002C7ECF" w:rsidRDefault="002C7ECF" w:rsidP="00387B6B">
      <w:pPr>
        <w:spacing w:after="0" w:line="360" w:lineRule="auto"/>
        <w:jc w:val="both"/>
        <w:rPr>
          <w:rFonts w:ascii="Arial" w:hAnsi="Arial" w:cs="Arial"/>
        </w:rPr>
      </w:pPr>
    </w:p>
    <w:p w:rsidR="00775061" w:rsidRDefault="00392DC0" w:rsidP="00775061">
      <w:pPr>
        <w:spacing w:after="0" w:line="360" w:lineRule="auto"/>
        <w:jc w:val="both"/>
        <w:rPr>
          <w:rFonts w:ascii="Arial" w:hAnsi="Arial" w:cs="Arial"/>
        </w:rPr>
      </w:pPr>
      <w:r>
        <w:rPr>
          <w:rFonts w:ascii="Arial" w:hAnsi="Arial" w:cs="Arial"/>
        </w:rPr>
        <w:t>W</w:t>
      </w:r>
      <w:r w:rsidR="0093787F">
        <w:rPr>
          <w:rFonts w:ascii="Arial" w:hAnsi="Arial" w:cs="Arial"/>
        </w:rPr>
        <w:t xml:space="preserve">ater </w:t>
      </w:r>
      <w:r w:rsidR="00D42A9C">
        <w:rPr>
          <w:rFonts w:ascii="Arial" w:hAnsi="Arial" w:cs="Arial"/>
        </w:rPr>
        <w:t xml:space="preserve">and sanitation </w:t>
      </w:r>
      <w:r w:rsidR="0093787F">
        <w:rPr>
          <w:rFonts w:ascii="Arial" w:hAnsi="Arial" w:cs="Arial"/>
        </w:rPr>
        <w:t xml:space="preserve">revenue constitutes </w:t>
      </w:r>
      <w:r w:rsidR="00B67975" w:rsidRPr="00726281">
        <w:rPr>
          <w:rFonts w:ascii="Arial" w:hAnsi="Arial" w:cs="Arial"/>
        </w:rPr>
        <w:t>2</w:t>
      </w:r>
      <w:r w:rsidR="00476B39">
        <w:rPr>
          <w:rFonts w:ascii="Arial" w:hAnsi="Arial" w:cs="Arial"/>
        </w:rPr>
        <w:t>8</w:t>
      </w:r>
      <w:r w:rsidR="00726281" w:rsidRPr="00726281">
        <w:rPr>
          <w:rFonts w:ascii="Arial" w:hAnsi="Arial" w:cs="Arial"/>
        </w:rPr>
        <w:t>.</w:t>
      </w:r>
      <w:r w:rsidR="00476B39">
        <w:rPr>
          <w:rFonts w:ascii="Arial" w:hAnsi="Arial" w:cs="Arial"/>
        </w:rPr>
        <w:t>7</w:t>
      </w:r>
      <w:r w:rsidR="00D747D2">
        <w:rPr>
          <w:rFonts w:ascii="Arial" w:hAnsi="Arial" w:cs="Arial"/>
        </w:rPr>
        <w:t xml:space="preserve"> </w:t>
      </w:r>
      <w:r w:rsidR="00D42A9C">
        <w:rPr>
          <w:rFonts w:ascii="Arial" w:hAnsi="Arial" w:cs="Arial"/>
        </w:rPr>
        <w:t xml:space="preserve">% </w:t>
      </w:r>
      <w:r w:rsidR="00224512">
        <w:rPr>
          <w:rFonts w:ascii="Arial" w:hAnsi="Arial" w:cs="Arial"/>
        </w:rPr>
        <w:t xml:space="preserve">of the total operating revenue </w:t>
      </w:r>
      <w:r w:rsidR="0093787F">
        <w:rPr>
          <w:rFonts w:ascii="Arial" w:hAnsi="Arial" w:cs="Arial"/>
        </w:rPr>
        <w:t xml:space="preserve">hence the need for the municipality to focus on the </w:t>
      </w:r>
      <w:r w:rsidR="0024355F">
        <w:rPr>
          <w:rFonts w:ascii="Arial" w:hAnsi="Arial" w:cs="Arial"/>
        </w:rPr>
        <w:t xml:space="preserve">effective </w:t>
      </w:r>
      <w:r w:rsidR="00A87878">
        <w:rPr>
          <w:rFonts w:ascii="Arial" w:hAnsi="Arial" w:cs="Arial"/>
        </w:rPr>
        <w:t xml:space="preserve">implementation of the </w:t>
      </w:r>
      <w:r w:rsidR="00E83B86">
        <w:rPr>
          <w:rFonts w:ascii="Arial" w:hAnsi="Arial" w:cs="Arial"/>
        </w:rPr>
        <w:t xml:space="preserve">credit control </w:t>
      </w:r>
      <w:r>
        <w:rPr>
          <w:rFonts w:ascii="Arial" w:hAnsi="Arial" w:cs="Arial"/>
        </w:rPr>
        <w:t>measures</w:t>
      </w:r>
      <w:r w:rsidR="00A87878">
        <w:rPr>
          <w:rFonts w:ascii="Arial" w:hAnsi="Arial" w:cs="Arial"/>
        </w:rPr>
        <w:t xml:space="preserve">. </w:t>
      </w:r>
      <w:r w:rsidR="001A5BE5">
        <w:rPr>
          <w:rFonts w:ascii="Arial" w:hAnsi="Arial" w:cs="Arial"/>
        </w:rPr>
        <w:t xml:space="preserve">The municipality is highly grant dependent as mentioned above hence the need to focus on the generation of own revenue for the long term financial </w:t>
      </w:r>
      <w:r w:rsidR="00D42A9C">
        <w:rPr>
          <w:rFonts w:ascii="Arial" w:hAnsi="Arial" w:cs="Arial"/>
        </w:rPr>
        <w:t>sustainability</w:t>
      </w:r>
      <w:r w:rsidR="001A5BE5">
        <w:rPr>
          <w:rFonts w:ascii="Arial" w:hAnsi="Arial" w:cs="Arial"/>
        </w:rPr>
        <w:t>.</w:t>
      </w:r>
      <w:bookmarkStart w:id="26" w:name="_Toc287342445"/>
      <w:bookmarkStart w:id="27" w:name="_Toc415060206"/>
    </w:p>
    <w:p w:rsidR="00983FA7" w:rsidRDefault="00983FA7" w:rsidP="00775061">
      <w:pPr>
        <w:spacing w:after="0" w:line="360" w:lineRule="auto"/>
        <w:jc w:val="both"/>
        <w:rPr>
          <w:rFonts w:ascii="Arial" w:hAnsi="Arial" w:cs="Arial"/>
          <w:b/>
        </w:rPr>
      </w:pPr>
    </w:p>
    <w:p w:rsidR="00297EFE" w:rsidRDefault="002216E1" w:rsidP="00476B39">
      <w:pPr>
        <w:spacing w:after="0" w:line="360" w:lineRule="auto"/>
      </w:pPr>
      <w:r w:rsidRPr="00775061">
        <w:rPr>
          <w:rFonts w:ascii="Arial" w:hAnsi="Arial" w:cs="Arial"/>
          <w:b/>
        </w:rPr>
        <w:t xml:space="preserve">Table </w:t>
      </w:r>
      <w:r w:rsidR="00392DC0">
        <w:rPr>
          <w:rFonts w:ascii="Arial" w:hAnsi="Arial" w:cs="Arial"/>
          <w:b/>
        </w:rPr>
        <w:t>4</w:t>
      </w:r>
      <w:r w:rsidR="00896D19">
        <w:rPr>
          <w:rFonts w:ascii="Arial" w:hAnsi="Arial" w:cs="Arial"/>
          <w:b/>
          <w:noProof/>
        </w:rPr>
        <w:t>:</w:t>
      </w:r>
      <w:r w:rsidRPr="00775061">
        <w:rPr>
          <w:rFonts w:ascii="Arial" w:hAnsi="Arial" w:cs="Arial"/>
          <w:b/>
        </w:rPr>
        <w:t xml:space="preserve"> </w:t>
      </w:r>
      <w:r w:rsidR="001C22D7" w:rsidRPr="00775061">
        <w:rPr>
          <w:rFonts w:ascii="Arial" w:hAnsi="Arial" w:cs="Arial"/>
          <w:b/>
        </w:rPr>
        <w:t xml:space="preserve"> Operating Transfers and Grant Receipts</w:t>
      </w:r>
      <w:bookmarkEnd w:id="26"/>
      <w:bookmarkEnd w:id="27"/>
      <w:r w:rsidR="00F24A9A">
        <w:rPr>
          <w:rFonts w:ascii="Arial" w:hAnsi="Arial" w:cs="Arial"/>
          <w:b/>
        </w:rPr>
        <w:t xml:space="preserve">:- </w:t>
      </w:r>
      <w:r w:rsidR="00174D5A" w:rsidRPr="00174D5A">
        <w:rPr>
          <w:noProof/>
          <w:lang w:val="en-US" w:eastAsia="en-US"/>
        </w:rPr>
        <w:drawing>
          <wp:inline distT="0" distB="0" distL="0" distR="0">
            <wp:extent cx="6386437" cy="60731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0775" cy="6077265"/>
                    </a:xfrm>
                    <a:prstGeom prst="rect">
                      <a:avLst/>
                    </a:prstGeom>
                    <a:noFill/>
                    <a:ln>
                      <a:noFill/>
                    </a:ln>
                  </pic:spPr>
                </pic:pic>
              </a:graphicData>
            </a:graphic>
          </wp:inline>
        </w:drawing>
      </w:r>
    </w:p>
    <w:p w:rsidR="002C3AAA" w:rsidRPr="00B5296A" w:rsidRDefault="002C3AAA" w:rsidP="00FE7D6F">
      <w:pPr>
        <w:spacing w:after="0" w:line="360" w:lineRule="auto"/>
        <w:jc w:val="both"/>
      </w:pPr>
    </w:p>
    <w:p w:rsidR="000232E5" w:rsidRDefault="000E417D" w:rsidP="00387B6B">
      <w:pPr>
        <w:spacing w:after="0" w:line="360" w:lineRule="auto"/>
        <w:jc w:val="both"/>
        <w:rPr>
          <w:rFonts w:ascii="Arial" w:hAnsi="Arial" w:cs="Arial"/>
        </w:rPr>
      </w:pPr>
      <w:r w:rsidRPr="008433EA">
        <w:rPr>
          <w:rFonts w:ascii="Arial" w:hAnsi="Arial" w:cs="Arial"/>
        </w:rPr>
        <w:t>The table above is a breakdown</w:t>
      </w:r>
      <w:r>
        <w:rPr>
          <w:rFonts w:ascii="Arial" w:hAnsi="Arial" w:cs="Arial"/>
        </w:rPr>
        <w:t xml:space="preserve"> of grant funding that is allocated to</w:t>
      </w:r>
      <w:r w:rsidR="00E83B86">
        <w:rPr>
          <w:rFonts w:ascii="Arial" w:hAnsi="Arial" w:cs="Arial"/>
        </w:rPr>
        <w:t xml:space="preserve"> the m</w:t>
      </w:r>
      <w:r>
        <w:rPr>
          <w:rFonts w:ascii="Arial" w:hAnsi="Arial" w:cs="Arial"/>
        </w:rPr>
        <w:t>unicipality. This is an indication that</w:t>
      </w:r>
      <w:r w:rsidR="00D12BB6">
        <w:rPr>
          <w:rFonts w:ascii="Arial" w:hAnsi="Arial" w:cs="Arial"/>
        </w:rPr>
        <w:t xml:space="preserve">, </w:t>
      </w:r>
      <w:r>
        <w:rPr>
          <w:rFonts w:ascii="Arial" w:hAnsi="Arial" w:cs="Arial"/>
        </w:rPr>
        <w:t>the municipality to be financ</w:t>
      </w:r>
      <w:r w:rsidR="002B5383">
        <w:rPr>
          <w:rFonts w:ascii="Arial" w:hAnsi="Arial" w:cs="Arial"/>
        </w:rPr>
        <w:t>ially viable it mainly depends</w:t>
      </w:r>
      <w:r>
        <w:rPr>
          <w:rFonts w:ascii="Arial" w:hAnsi="Arial" w:cs="Arial"/>
        </w:rPr>
        <w:t xml:space="preserve"> on grant fund</w:t>
      </w:r>
      <w:r w:rsidR="002B5383">
        <w:rPr>
          <w:rFonts w:ascii="Arial" w:hAnsi="Arial" w:cs="Arial"/>
        </w:rPr>
        <w:t>ing</w:t>
      </w:r>
      <w:r>
        <w:rPr>
          <w:rFonts w:ascii="Arial" w:hAnsi="Arial" w:cs="Arial"/>
        </w:rPr>
        <w:t xml:space="preserve"> for its operations. As depicted </w:t>
      </w:r>
      <w:r w:rsidR="00057C46">
        <w:rPr>
          <w:rFonts w:ascii="Arial" w:hAnsi="Arial" w:cs="Arial"/>
        </w:rPr>
        <w:t xml:space="preserve">in Supporting </w:t>
      </w:r>
      <w:r>
        <w:rPr>
          <w:rFonts w:ascii="Arial" w:hAnsi="Arial" w:cs="Arial"/>
        </w:rPr>
        <w:t>Table</w:t>
      </w:r>
      <w:r w:rsidR="00057C46">
        <w:rPr>
          <w:rFonts w:ascii="Arial" w:hAnsi="Arial" w:cs="Arial"/>
        </w:rPr>
        <w:t xml:space="preserve"> SA18 </w:t>
      </w:r>
      <w:r>
        <w:rPr>
          <w:rFonts w:ascii="Arial" w:hAnsi="Arial" w:cs="Arial"/>
        </w:rPr>
        <w:t xml:space="preserve">above over the MTREF period there is going to be </w:t>
      </w:r>
      <w:r w:rsidR="00873FF1" w:rsidRPr="009974EF">
        <w:rPr>
          <w:rFonts w:ascii="Arial" w:hAnsi="Arial" w:cs="Arial"/>
        </w:rPr>
        <w:t xml:space="preserve">a </w:t>
      </w:r>
      <w:r w:rsidR="009974EF" w:rsidRPr="009974EF">
        <w:rPr>
          <w:rFonts w:ascii="Arial" w:hAnsi="Arial" w:cs="Arial"/>
        </w:rPr>
        <w:t>slight in</w:t>
      </w:r>
      <w:r w:rsidR="00873FF1" w:rsidRPr="009974EF">
        <w:rPr>
          <w:rFonts w:ascii="Arial" w:hAnsi="Arial" w:cs="Arial"/>
        </w:rPr>
        <w:t>crease</w:t>
      </w:r>
      <w:r w:rsidRPr="009974EF">
        <w:rPr>
          <w:rFonts w:ascii="Arial" w:hAnsi="Arial" w:cs="Arial"/>
        </w:rPr>
        <w:t xml:space="preserve"> in</w:t>
      </w:r>
      <w:r w:rsidRPr="0024355F">
        <w:rPr>
          <w:rFonts w:ascii="Arial" w:hAnsi="Arial" w:cs="Arial"/>
          <w:color w:val="FF0000"/>
        </w:rPr>
        <w:t xml:space="preserve"> </w:t>
      </w:r>
      <w:r>
        <w:rPr>
          <w:rFonts w:ascii="Arial" w:hAnsi="Arial" w:cs="Arial"/>
        </w:rPr>
        <w:t>grants allocated to the municipality</w:t>
      </w:r>
      <w:r w:rsidR="00911BEE">
        <w:rPr>
          <w:rFonts w:ascii="Arial" w:hAnsi="Arial" w:cs="Arial"/>
        </w:rPr>
        <w:t>,</w:t>
      </w:r>
      <w:r>
        <w:rPr>
          <w:rFonts w:ascii="Arial" w:hAnsi="Arial" w:cs="Arial"/>
        </w:rPr>
        <w:t xml:space="preserve"> this </w:t>
      </w:r>
      <w:r w:rsidR="002B5383">
        <w:rPr>
          <w:rFonts w:ascii="Arial" w:hAnsi="Arial" w:cs="Arial"/>
        </w:rPr>
        <w:t xml:space="preserve">therefore requires the municipality to fully implement </w:t>
      </w:r>
      <w:r w:rsidR="00911BEE">
        <w:rPr>
          <w:rFonts w:ascii="Arial" w:hAnsi="Arial" w:cs="Arial"/>
        </w:rPr>
        <w:t xml:space="preserve">strategies </w:t>
      </w:r>
      <w:r w:rsidR="002B5383">
        <w:rPr>
          <w:rFonts w:ascii="Arial" w:hAnsi="Arial" w:cs="Arial"/>
        </w:rPr>
        <w:t xml:space="preserve">to improve </w:t>
      </w:r>
      <w:r w:rsidR="00911BEE">
        <w:rPr>
          <w:rFonts w:ascii="Arial" w:hAnsi="Arial" w:cs="Arial"/>
        </w:rPr>
        <w:t xml:space="preserve">on </w:t>
      </w:r>
      <w:r w:rsidR="002B5383">
        <w:rPr>
          <w:rFonts w:ascii="Arial" w:hAnsi="Arial" w:cs="Arial"/>
        </w:rPr>
        <w:t xml:space="preserve">the billing and </w:t>
      </w:r>
      <w:r w:rsidR="0024355F">
        <w:rPr>
          <w:rFonts w:ascii="Arial" w:hAnsi="Arial" w:cs="Arial"/>
        </w:rPr>
        <w:t xml:space="preserve">debt </w:t>
      </w:r>
      <w:r w:rsidR="002B5383">
        <w:rPr>
          <w:rFonts w:ascii="Arial" w:hAnsi="Arial" w:cs="Arial"/>
        </w:rPr>
        <w:t>collection</w:t>
      </w:r>
      <w:r w:rsidR="00911BEE">
        <w:rPr>
          <w:rFonts w:ascii="Arial" w:hAnsi="Arial" w:cs="Arial"/>
        </w:rPr>
        <w:t xml:space="preserve"> of</w:t>
      </w:r>
      <w:r w:rsidR="00FE7D6F">
        <w:rPr>
          <w:rFonts w:ascii="Arial" w:hAnsi="Arial" w:cs="Arial"/>
        </w:rPr>
        <w:t xml:space="preserve"> consumer</w:t>
      </w:r>
      <w:r w:rsidR="00911BEE">
        <w:rPr>
          <w:rFonts w:ascii="Arial" w:hAnsi="Arial" w:cs="Arial"/>
        </w:rPr>
        <w:t xml:space="preserve"> debtors</w:t>
      </w:r>
      <w:r w:rsidR="002B5383">
        <w:rPr>
          <w:rFonts w:ascii="Arial" w:hAnsi="Arial" w:cs="Arial"/>
        </w:rPr>
        <w:t>; and the implementation of the cost containment measures to curb unnecessary expenditure.</w:t>
      </w:r>
    </w:p>
    <w:p w:rsidR="00873FF1" w:rsidRDefault="00873FF1" w:rsidP="00387B6B">
      <w:pPr>
        <w:spacing w:after="0" w:line="360" w:lineRule="auto"/>
        <w:jc w:val="both"/>
        <w:rPr>
          <w:rFonts w:ascii="Arial" w:hAnsi="Arial" w:cs="Arial"/>
        </w:rPr>
      </w:pPr>
    </w:p>
    <w:p w:rsidR="00CD4D7B" w:rsidRPr="008D6BA7" w:rsidRDefault="00923B60" w:rsidP="00387B6B">
      <w:pPr>
        <w:pStyle w:val="Heading3"/>
        <w:spacing w:line="360" w:lineRule="auto"/>
        <w:rPr>
          <w:rFonts w:ascii="Arial" w:hAnsi="Arial" w:cs="Arial"/>
          <w:color w:val="auto"/>
        </w:rPr>
      </w:pPr>
      <w:bookmarkStart w:id="28" w:name="_Toc286034095"/>
      <w:bookmarkStart w:id="29" w:name="_Toc286034686"/>
      <w:bookmarkStart w:id="30" w:name="_Toc415060207"/>
      <w:r w:rsidRPr="008D6BA7">
        <w:rPr>
          <w:rFonts w:ascii="Arial" w:hAnsi="Arial" w:cs="Arial"/>
          <w:color w:val="auto"/>
        </w:rPr>
        <w:t xml:space="preserve">Sale of Water and </w:t>
      </w:r>
      <w:r w:rsidR="00EE347D" w:rsidRPr="008D6BA7">
        <w:rPr>
          <w:rFonts w:ascii="Arial" w:hAnsi="Arial" w:cs="Arial"/>
          <w:color w:val="auto"/>
        </w:rPr>
        <w:t xml:space="preserve">Impact of </w:t>
      </w:r>
      <w:r w:rsidRPr="008D6BA7">
        <w:rPr>
          <w:rFonts w:ascii="Arial" w:hAnsi="Arial" w:cs="Arial"/>
          <w:color w:val="auto"/>
        </w:rPr>
        <w:t>Tariff Increases</w:t>
      </w:r>
      <w:bookmarkEnd w:id="28"/>
      <w:bookmarkEnd w:id="29"/>
      <w:bookmarkEnd w:id="30"/>
      <w:r w:rsidR="0024355F">
        <w:rPr>
          <w:rFonts w:ascii="Arial" w:hAnsi="Arial" w:cs="Arial"/>
          <w:color w:val="auto"/>
        </w:rPr>
        <w:t>:-</w:t>
      </w:r>
    </w:p>
    <w:p w:rsidR="00CD4D7B" w:rsidRDefault="00CD4D7B" w:rsidP="00387B6B">
      <w:pPr>
        <w:spacing w:after="0" w:line="360" w:lineRule="auto"/>
        <w:rPr>
          <w:rFonts w:ascii="Arial" w:hAnsi="Arial" w:cs="Arial"/>
        </w:rPr>
      </w:pPr>
    </w:p>
    <w:p w:rsidR="00535807" w:rsidRPr="00291A81" w:rsidRDefault="00E83B86" w:rsidP="00387B6B">
      <w:pPr>
        <w:tabs>
          <w:tab w:val="left" w:pos="-720"/>
          <w:tab w:val="left" w:pos="1756"/>
          <w:tab w:val="left" w:leader="dot" w:pos="8617"/>
          <w:tab w:val="right" w:pos="9466"/>
        </w:tabs>
        <w:spacing w:after="0" w:line="360" w:lineRule="auto"/>
        <w:jc w:val="both"/>
        <w:rPr>
          <w:rFonts w:ascii="Arial" w:hAnsi="Arial" w:cs="Arial"/>
          <w:lang w:val="en-GB"/>
        </w:rPr>
      </w:pPr>
      <w:r>
        <w:rPr>
          <w:rFonts w:ascii="Arial" w:hAnsi="Arial" w:cs="Arial"/>
          <w:lang w:val="en-GB"/>
        </w:rPr>
        <w:t>The m</w:t>
      </w:r>
      <w:r w:rsidR="00E371F9">
        <w:rPr>
          <w:rFonts w:ascii="Arial" w:hAnsi="Arial" w:cs="Arial"/>
          <w:lang w:val="en-GB"/>
        </w:rPr>
        <w:t>unicipality as a Water Service</w:t>
      </w:r>
      <w:r w:rsidR="00E74DBC">
        <w:rPr>
          <w:rFonts w:ascii="Arial" w:hAnsi="Arial" w:cs="Arial"/>
          <w:lang w:val="en-GB"/>
        </w:rPr>
        <w:t>s</w:t>
      </w:r>
      <w:r w:rsidR="00873FF1">
        <w:rPr>
          <w:rFonts w:ascii="Arial" w:hAnsi="Arial" w:cs="Arial"/>
          <w:lang w:val="en-GB"/>
        </w:rPr>
        <w:t xml:space="preserve"> Authority and</w:t>
      </w:r>
      <w:r w:rsidR="00E371F9">
        <w:rPr>
          <w:rFonts w:ascii="Arial" w:hAnsi="Arial" w:cs="Arial"/>
          <w:lang w:val="en-GB"/>
        </w:rPr>
        <w:t xml:space="preserve"> Provider is currently experiencing </w:t>
      </w:r>
      <w:r w:rsidR="00491127">
        <w:rPr>
          <w:rFonts w:ascii="Arial" w:hAnsi="Arial" w:cs="Arial"/>
          <w:lang w:val="en-GB"/>
        </w:rPr>
        <w:t>problems</w:t>
      </w:r>
      <w:r w:rsidR="00E371F9">
        <w:rPr>
          <w:rFonts w:ascii="Arial" w:hAnsi="Arial" w:cs="Arial"/>
          <w:lang w:val="en-GB"/>
        </w:rPr>
        <w:t xml:space="preserve"> in the billing</w:t>
      </w:r>
      <w:r w:rsidR="00491127">
        <w:rPr>
          <w:rFonts w:ascii="Arial" w:hAnsi="Arial" w:cs="Arial"/>
          <w:lang w:val="en-GB"/>
        </w:rPr>
        <w:t xml:space="preserve"> process</w:t>
      </w:r>
      <w:r w:rsidR="00E371F9">
        <w:rPr>
          <w:rFonts w:ascii="Arial" w:hAnsi="Arial" w:cs="Arial"/>
          <w:lang w:val="en-GB"/>
        </w:rPr>
        <w:t xml:space="preserve">, </w:t>
      </w:r>
      <w:r w:rsidR="0024355F">
        <w:rPr>
          <w:rFonts w:ascii="Arial" w:hAnsi="Arial" w:cs="Arial"/>
          <w:lang w:val="en-GB"/>
        </w:rPr>
        <w:t xml:space="preserve">debt </w:t>
      </w:r>
      <w:r w:rsidR="00E371F9">
        <w:rPr>
          <w:rFonts w:ascii="Arial" w:hAnsi="Arial" w:cs="Arial"/>
          <w:lang w:val="en-GB"/>
        </w:rPr>
        <w:t xml:space="preserve">collection and implementation of the </w:t>
      </w:r>
      <w:r w:rsidR="00491127">
        <w:rPr>
          <w:rFonts w:ascii="Arial" w:hAnsi="Arial" w:cs="Arial"/>
          <w:lang w:val="en-GB"/>
        </w:rPr>
        <w:t xml:space="preserve">applicable </w:t>
      </w:r>
      <w:r w:rsidR="00E371F9">
        <w:rPr>
          <w:rFonts w:ascii="Arial" w:hAnsi="Arial" w:cs="Arial"/>
          <w:lang w:val="en-GB"/>
        </w:rPr>
        <w:t>water tariffs across the district.</w:t>
      </w:r>
      <w:r w:rsidR="00606C15">
        <w:rPr>
          <w:rFonts w:ascii="Arial" w:hAnsi="Arial" w:cs="Arial"/>
          <w:lang w:val="en-GB"/>
        </w:rPr>
        <w:t xml:space="preserve"> </w:t>
      </w:r>
      <w:r w:rsidR="00535807">
        <w:rPr>
          <w:rFonts w:ascii="Arial" w:hAnsi="Arial" w:cs="Arial"/>
          <w:lang w:val="en-GB"/>
        </w:rPr>
        <w:t>National Treasury is encouraging all m</w:t>
      </w:r>
      <w:r w:rsidR="00535807" w:rsidRPr="00291A81">
        <w:rPr>
          <w:rFonts w:ascii="Arial" w:hAnsi="Arial" w:cs="Arial"/>
          <w:lang w:val="en-GB"/>
        </w:rPr>
        <w:t>unicipalities to</w:t>
      </w:r>
      <w:r w:rsidR="00535807">
        <w:rPr>
          <w:rFonts w:ascii="Arial" w:hAnsi="Arial" w:cs="Arial"/>
          <w:lang w:val="en-GB"/>
        </w:rPr>
        <w:t xml:space="preserve"> carefully </w:t>
      </w:r>
      <w:r w:rsidR="00535807" w:rsidRPr="00291A81">
        <w:rPr>
          <w:rFonts w:ascii="Arial" w:hAnsi="Arial" w:cs="Arial"/>
          <w:lang w:val="en-GB"/>
        </w:rPr>
        <w:t xml:space="preserve">review the level and structure of their water tariffs </w:t>
      </w:r>
      <w:r w:rsidR="00535807">
        <w:rPr>
          <w:rFonts w:ascii="Arial" w:hAnsi="Arial" w:cs="Arial"/>
          <w:lang w:val="en-GB"/>
        </w:rPr>
        <w:t>to ensure</w:t>
      </w:r>
      <w:r w:rsidR="00D12BB6">
        <w:rPr>
          <w:rFonts w:ascii="Arial" w:hAnsi="Arial" w:cs="Arial"/>
          <w:lang w:val="en-GB"/>
        </w:rPr>
        <w:t>, that</w:t>
      </w:r>
      <w:r w:rsidR="00535807" w:rsidRPr="00291A81">
        <w:rPr>
          <w:rFonts w:ascii="Arial" w:hAnsi="Arial" w:cs="Arial"/>
          <w:lang w:val="en-GB"/>
        </w:rPr>
        <w:t>:</w:t>
      </w:r>
    </w:p>
    <w:p w:rsidR="00535807" w:rsidRPr="00291A81" w:rsidRDefault="00535807" w:rsidP="00387B6B">
      <w:pPr>
        <w:tabs>
          <w:tab w:val="left" w:pos="-720"/>
          <w:tab w:val="left" w:pos="1756"/>
          <w:tab w:val="left" w:leader="dot" w:pos="8617"/>
          <w:tab w:val="right" w:pos="9466"/>
        </w:tabs>
        <w:spacing w:after="0" w:line="360" w:lineRule="auto"/>
        <w:jc w:val="both"/>
        <w:rPr>
          <w:rFonts w:ascii="Arial" w:hAnsi="Arial" w:cs="Arial"/>
          <w:lang w:val="en-GB"/>
        </w:rPr>
      </w:pPr>
    </w:p>
    <w:p w:rsidR="00535807" w:rsidRPr="00923B60" w:rsidRDefault="00535807" w:rsidP="00387B6B">
      <w:pPr>
        <w:numPr>
          <w:ilvl w:val="0"/>
          <w:numId w:val="5"/>
        </w:numPr>
        <w:tabs>
          <w:tab w:val="clear" w:pos="720"/>
        </w:tabs>
        <w:spacing w:after="0" w:line="360" w:lineRule="auto"/>
        <w:ind w:left="709" w:hanging="709"/>
        <w:jc w:val="both"/>
        <w:rPr>
          <w:rFonts w:ascii="Arial" w:hAnsi="Arial" w:cs="Arial"/>
        </w:rPr>
      </w:pPr>
      <w:r w:rsidRPr="00923B60">
        <w:rPr>
          <w:rFonts w:ascii="Arial" w:hAnsi="Arial" w:cs="Arial"/>
        </w:rPr>
        <w:t xml:space="preserve">Water tariffs are fully cost-reflective – including the cost of </w:t>
      </w:r>
      <w:r w:rsidR="00606C15">
        <w:rPr>
          <w:rFonts w:ascii="Arial" w:hAnsi="Arial" w:cs="Arial"/>
        </w:rPr>
        <w:t xml:space="preserve">operating and </w:t>
      </w:r>
      <w:r w:rsidRPr="00923B60">
        <w:rPr>
          <w:rFonts w:ascii="Arial" w:hAnsi="Arial" w:cs="Arial"/>
        </w:rPr>
        <w:t>maintenance of purification plan</w:t>
      </w:r>
      <w:r>
        <w:rPr>
          <w:rFonts w:ascii="Arial" w:hAnsi="Arial" w:cs="Arial"/>
        </w:rPr>
        <w:t>t</w:t>
      </w:r>
      <w:r w:rsidRPr="00923B60">
        <w:rPr>
          <w:rFonts w:ascii="Arial" w:hAnsi="Arial" w:cs="Arial"/>
        </w:rPr>
        <w:t>s</w:t>
      </w:r>
      <w:r>
        <w:rPr>
          <w:rFonts w:ascii="Arial" w:hAnsi="Arial" w:cs="Arial"/>
        </w:rPr>
        <w:t xml:space="preserve">, </w:t>
      </w:r>
      <w:r w:rsidRPr="00923B60">
        <w:rPr>
          <w:rFonts w:ascii="Arial" w:hAnsi="Arial" w:cs="Arial"/>
        </w:rPr>
        <w:t>water networks and the cost</w:t>
      </w:r>
      <w:r>
        <w:rPr>
          <w:rFonts w:ascii="Arial" w:hAnsi="Arial" w:cs="Arial"/>
        </w:rPr>
        <w:t xml:space="preserve"> associated with reticulation expansion</w:t>
      </w:r>
      <w:r w:rsidRPr="00923B60">
        <w:rPr>
          <w:rFonts w:ascii="Arial" w:hAnsi="Arial" w:cs="Arial"/>
        </w:rPr>
        <w:t>;</w:t>
      </w:r>
    </w:p>
    <w:p w:rsidR="00535807" w:rsidRPr="00923B60" w:rsidRDefault="00606C15" w:rsidP="00387B6B">
      <w:pPr>
        <w:numPr>
          <w:ilvl w:val="0"/>
          <w:numId w:val="5"/>
        </w:numPr>
        <w:tabs>
          <w:tab w:val="clear" w:pos="720"/>
        </w:tabs>
        <w:spacing w:after="0" w:line="360" w:lineRule="auto"/>
        <w:ind w:left="709" w:hanging="709"/>
        <w:jc w:val="both"/>
        <w:rPr>
          <w:rFonts w:ascii="Arial" w:hAnsi="Arial" w:cs="Arial"/>
        </w:rPr>
      </w:pPr>
      <w:r>
        <w:rPr>
          <w:rFonts w:ascii="Arial" w:hAnsi="Arial" w:cs="Arial"/>
        </w:rPr>
        <w:t>T</w:t>
      </w:r>
      <w:r w:rsidR="00535807" w:rsidRPr="00923B60">
        <w:rPr>
          <w:rFonts w:ascii="Arial" w:hAnsi="Arial" w:cs="Arial"/>
        </w:rPr>
        <w:t xml:space="preserve">ariffs are structured </w:t>
      </w:r>
      <w:r w:rsidR="002A292F">
        <w:rPr>
          <w:rFonts w:ascii="Arial" w:hAnsi="Arial" w:cs="Arial"/>
        </w:rPr>
        <w:t xml:space="preserve">such that they </w:t>
      </w:r>
      <w:r w:rsidR="00535807" w:rsidRPr="00923B60">
        <w:rPr>
          <w:rFonts w:ascii="Arial" w:hAnsi="Arial" w:cs="Arial"/>
        </w:rPr>
        <w:t>protect basic levels of service</w:t>
      </w:r>
      <w:r w:rsidR="00535807">
        <w:rPr>
          <w:rFonts w:ascii="Arial" w:hAnsi="Arial" w:cs="Arial"/>
        </w:rPr>
        <w:t xml:space="preserve"> and ensure the provision of free </w:t>
      </w:r>
      <w:r>
        <w:rPr>
          <w:rFonts w:ascii="Arial" w:hAnsi="Arial" w:cs="Arial"/>
        </w:rPr>
        <w:t>services</w:t>
      </w:r>
      <w:r w:rsidR="00535807">
        <w:rPr>
          <w:rFonts w:ascii="Arial" w:hAnsi="Arial" w:cs="Arial"/>
        </w:rPr>
        <w:t xml:space="preserve"> to the indigent</w:t>
      </w:r>
      <w:r w:rsidR="00535807" w:rsidRPr="00923B60">
        <w:rPr>
          <w:rFonts w:ascii="Arial" w:hAnsi="Arial" w:cs="Arial"/>
        </w:rPr>
        <w:t>;  and</w:t>
      </w:r>
    </w:p>
    <w:p w:rsidR="00535807" w:rsidRDefault="00606C15" w:rsidP="00387B6B">
      <w:pPr>
        <w:numPr>
          <w:ilvl w:val="0"/>
          <w:numId w:val="5"/>
        </w:numPr>
        <w:tabs>
          <w:tab w:val="clear" w:pos="720"/>
        </w:tabs>
        <w:spacing w:after="0" w:line="360" w:lineRule="auto"/>
        <w:ind w:left="709" w:hanging="709"/>
        <w:jc w:val="both"/>
        <w:rPr>
          <w:rFonts w:ascii="Arial" w:hAnsi="Arial" w:cs="Arial"/>
          <w:lang w:val="en-GB"/>
        </w:rPr>
      </w:pPr>
      <w:r>
        <w:rPr>
          <w:rFonts w:ascii="Arial" w:hAnsi="Arial" w:cs="Arial"/>
        </w:rPr>
        <w:t>T</w:t>
      </w:r>
      <w:r w:rsidR="00535807" w:rsidRPr="00923B60">
        <w:rPr>
          <w:rFonts w:ascii="Arial" w:hAnsi="Arial" w:cs="Arial"/>
        </w:rPr>
        <w:t>ariffs are designed to encourage efficient and sustainable consumption.</w:t>
      </w:r>
    </w:p>
    <w:p w:rsidR="00535807" w:rsidRDefault="00535807" w:rsidP="00387B6B">
      <w:pPr>
        <w:spacing w:after="0" w:line="360" w:lineRule="auto"/>
        <w:jc w:val="both"/>
        <w:rPr>
          <w:rFonts w:ascii="Arial" w:hAnsi="Arial" w:cs="Arial"/>
          <w:lang w:val="en-GB"/>
        </w:rPr>
      </w:pPr>
    </w:p>
    <w:p w:rsidR="00491127" w:rsidRDefault="00535807" w:rsidP="00387B6B">
      <w:pPr>
        <w:spacing w:after="0" w:line="360" w:lineRule="auto"/>
        <w:jc w:val="both"/>
        <w:rPr>
          <w:rFonts w:ascii="Arial" w:hAnsi="Arial" w:cs="Arial"/>
          <w:lang w:val="en-GB"/>
        </w:rPr>
      </w:pPr>
      <w:r>
        <w:rPr>
          <w:rFonts w:ascii="Arial" w:hAnsi="Arial" w:cs="Arial"/>
          <w:lang w:val="en-GB"/>
        </w:rPr>
        <w:t xml:space="preserve">In addition National Treasury has urged all </w:t>
      </w:r>
      <w:r w:rsidRPr="00291A81">
        <w:rPr>
          <w:rFonts w:ascii="Arial" w:hAnsi="Arial" w:cs="Arial"/>
          <w:lang w:val="en-GB"/>
        </w:rPr>
        <w:t xml:space="preserve">municipalities </w:t>
      </w:r>
      <w:r>
        <w:rPr>
          <w:rFonts w:ascii="Arial" w:hAnsi="Arial" w:cs="Arial"/>
          <w:lang w:val="en-GB"/>
        </w:rPr>
        <w:t xml:space="preserve">to ensure that </w:t>
      </w:r>
      <w:r w:rsidR="00606C15">
        <w:rPr>
          <w:rFonts w:ascii="Arial" w:hAnsi="Arial" w:cs="Arial"/>
          <w:lang w:val="en-GB"/>
        </w:rPr>
        <w:t>T</w:t>
      </w:r>
      <w:r>
        <w:rPr>
          <w:rFonts w:ascii="Arial" w:hAnsi="Arial" w:cs="Arial"/>
          <w:lang w:val="en-GB"/>
        </w:rPr>
        <w:t xml:space="preserve">ariff structures are cost reflective by </w:t>
      </w:r>
      <w:r w:rsidRPr="00291A81">
        <w:rPr>
          <w:rFonts w:ascii="Arial" w:hAnsi="Arial" w:cs="Arial"/>
          <w:lang w:val="en-GB"/>
        </w:rPr>
        <w:t>2014</w:t>
      </w:r>
      <w:r w:rsidR="00D12BB6">
        <w:rPr>
          <w:rFonts w:ascii="Arial" w:hAnsi="Arial" w:cs="Arial"/>
          <w:lang w:val="en-GB"/>
        </w:rPr>
        <w:t xml:space="preserve"> and</w:t>
      </w:r>
      <w:r w:rsidR="002A292F">
        <w:rPr>
          <w:rFonts w:ascii="Arial" w:hAnsi="Arial" w:cs="Arial"/>
          <w:lang w:val="en-GB"/>
        </w:rPr>
        <w:t xml:space="preserve"> to date </w:t>
      </w:r>
      <w:r w:rsidR="00E83B86">
        <w:rPr>
          <w:rFonts w:ascii="Arial" w:hAnsi="Arial" w:cs="Arial"/>
          <w:lang w:val="en-GB"/>
        </w:rPr>
        <w:t>the m</w:t>
      </w:r>
      <w:r w:rsidR="00D12BB6">
        <w:rPr>
          <w:rFonts w:ascii="Arial" w:hAnsi="Arial" w:cs="Arial"/>
          <w:lang w:val="en-GB"/>
        </w:rPr>
        <w:t>unicipality has missed that deadline</w:t>
      </w:r>
      <w:r w:rsidR="002A292F">
        <w:rPr>
          <w:rFonts w:ascii="Arial" w:hAnsi="Arial" w:cs="Arial"/>
          <w:lang w:val="en-GB"/>
        </w:rPr>
        <w:t>, as the cost of providing these services is higher tha</w:t>
      </w:r>
      <w:r w:rsidR="0024355F">
        <w:rPr>
          <w:rFonts w:ascii="Arial" w:hAnsi="Arial" w:cs="Arial"/>
          <w:lang w:val="en-GB"/>
        </w:rPr>
        <w:t>n</w:t>
      </w:r>
      <w:r w:rsidR="002A292F">
        <w:rPr>
          <w:rFonts w:ascii="Arial" w:hAnsi="Arial" w:cs="Arial"/>
          <w:lang w:val="en-GB"/>
        </w:rPr>
        <w:t xml:space="preserve"> the billing</w:t>
      </w:r>
      <w:r w:rsidR="00491127">
        <w:rPr>
          <w:rFonts w:ascii="Arial" w:hAnsi="Arial" w:cs="Arial"/>
          <w:lang w:val="en-GB"/>
        </w:rPr>
        <w:t xml:space="preserve"> amount</w:t>
      </w:r>
      <w:r w:rsidR="002A292F">
        <w:rPr>
          <w:rFonts w:ascii="Arial" w:hAnsi="Arial" w:cs="Arial"/>
          <w:lang w:val="en-GB"/>
        </w:rPr>
        <w:t xml:space="preserve"> and </w:t>
      </w:r>
      <w:r w:rsidR="0024355F">
        <w:rPr>
          <w:rFonts w:ascii="Arial" w:hAnsi="Arial" w:cs="Arial"/>
          <w:lang w:val="en-GB"/>
        </w:rPr>
        <w:t xml:space="preserve">debt </w:t>
      </w:r>
      <w:r w:rsidR="002A292F">
        <w:rPr>
          <w:rFonts w:ascii="Arial" w:hAnsi="Arial" w:cs="Arial"/>
          <w:lang w:val="en-GB"/>
        </w:rPr>
        <w:t>collection rate for the services</w:t>
      </w:r>
      <w:r w:rsidR="00491127">
        <w:rPr>
          <w:rFonts w:ascii="Arial" w:hAnsi="Arial" w:cs="Arial"/>
          <w:lang w:val="en-GB"/>
        </w:rPr>
        <w:t>.</w:t>
      </w:r>
    </w:p>
    <w:p w:rsidR="00A873A2" w:rsidRDefault="00491127" w:rsidP="00387B6B">
      <w:pPr>
        <w:spacing w:after="0" w:line="360" w:lineRule="auto"/>
        <w:jc w:val="both"/>
        <w:rPr>
          <w:rFonts w:ascii="Arial" w:hAnsi="Arial" w:cs="Arial"/>
          <w:lang w:val="en-GB"/>
        </w:rPr>
      </w:pPr>
      <w:r>
        <w:rPr>
          <w:rFonts w:ascii="Arial" w:hAnsi="Arial" w:cs="Arial"/>
          <w:lang w:val="en-GB"/>
        </w:rPr>
        <w:t xml:space="preserve"> </w:t>
      </w:r>
    </w:p>
    <w:p w:rsidR="00043BB7" w:rsidRDefault="00E83B86" w:rsidP="00387B6B">
      <w:pPr>
        <w:spacing w:after="0" w:line="360" w:lineRule="auto"/>
        <w:jc w:val="both"/>
        <w:rPr>
          <w:rFonts w:ascii="Arial" w:hAnsi="Arial" w:cs="Arial"/>
        </w:rPr>
      </w:pPr>
      <w:r>
        <w:rPr>
          <w:rFonts w:ascii="Arial" w:hAnsi="Arial" w:cs="Arial"/>
        </w:rPr>
        <w:t>The m</w:t>
      </w:r>
      <w:r w:rsidR="00043BB7" w:rsidRPr="004E19E7">
        <w:rPr>
          <w:rFonts w:ascii="Arial" w:hAnsi="Arial" w:cs="Arial"/>
        </w:rPr>
        <w:t xml:space="preserve">unicipality is a Water </w:t>
      </w:r>
      <w:r w:rsidR="00E914E1" w:rsidRPr="004E19E7">
        <w:rPr>
          <w:rFonts w:ascii="Arial" w:hAnsi="Arial" w:cs="Arial"/>
        </w:rPr>
        <w:t xml:space="preserve">Services </w:t>
      </w:r>
      <w:r w:rsidR="00E914E1">
        <w:rPr>
          <w:rFonts w:ascii="Arial" w:hAnsi="Arial" w:cs="Arial"/>
        </w:rPr>
        <w:t>Authority</w:t>
      </w:r>
      <w:r>
        <w:rPr>
          <w:rFonts w:ascii="Arial" w:hAnsi="Arial" w:cs="Arial"/>
        </w:rPr>
        <w:t xml:space="preserve"> (WSA)</w:t>
      </w:r>
      <w:r w:rsidR="00873FF1">
        <w:rPr>
          <w:rFonts w:ascii="Arial" w:hAnsi="Arial" w:cs="Arial"/>
        </w:rPr>
        <w:t xml:space="preserve"> and </w:t>
      </w:r>
      <w:r w:rsidR="00043BB7" w:rsidRPr="004E19E7">
        <w:rPr>
          <w:rFonts w:ascii="Arial" w:hAnsi="Arial" w:cs="Arial"/>
        </w:rPr>
        <w:t>Provider</w:t>
      </w:r>
      <w:r>
        <w:rPr>
          <w:rFonts w:ascii="Arial" w:hAnsi="Arial" w:cs="Arial"/>
        </w:rPr>
        <w:t xml:space="preserve"> (WSP)</w:t>
      </w:r>
      <w:r w:rsidR="00491127">
        <w:rPr>
          <w:rFonts w:ascii="Arial" w:hAnsi="Arial" w:cs="Arial"/>
        </w:rPr>
        <w:t>,</w:t>
      </w:r>
      <w:r w:rsidR="00043BB7" w:rsidRPr="004E19E7">
        <w:rPr>
          <w:rFonts w:ascii="Arial" w:hAnsi="Arial" w:cs="Arial"/>
        </w:rPr>
        <w:t xml:space="preserve"> therefore has to re</w:t>
      </w:r>
      <w:r>
        <w:rPr>
          <w:rFonts w:ascii="Arial" w:hAnsi="Arial" w:cs="Arial"/>
        </w:rPr>
        <w:t>alise</w:t>
      </w:r>
      <w:r w:rsidR="00043BB7" w:rsidRPr="004E19E7">
        <w:rPr>
          <w:rFonts w:ascii="Arial" w:hAnsi="Arial" w:cs="Arial"/>
        </w:rPr>
        <w:t xml:space="preserve"> own revenue from rendering of water and sanitation services. The above allocations are not </w:t>
      </w:r>
      <w:r>
        <w:rPr>
          <w:rFonts w:ascii="Arial" w:hAnsi="Arial" w:cs="Arial"/>
        </w:rPr>
        <w:t xml:space="preserve">sufficient </w:t>
      </w:r>
      <w:r w:rsidR="00043BB7" w:rsidRPr="004E19E7">
        <w:rPr>
          <w:rFonts w:ascii="Arial" w:hAnsi="Arial" w:cs="Arial"/>
        </w:rPr>
        <w:t xml:space="preserve">to maintain, repair and ensure the sustainability of the water infrastructure assets that should generate a revenue base for the municipality in order to cover operational and capital costs. </w:t>
      </w:r>
      <w:r w:rsidR="00365EDF">
        <w:rPr>
          <w:rFonts w:ascii="Arial" w:hAnsi="Arial" w:cs="Arial"/>
        </w:rPr>
        <w:t xml:space="preserve">Attached is </w:t>
      </w:r>
      <w:r w:rsidR="00365EDF" w:rsidRPr="0097199A">
        <w:rPr>
          <w:rFonts w:ascii="Arial" w:hAnsi="Arial" w:cs="Arial"/>
          <w:b/>
        </w:rPr>
        <w:t>Annexure A</w:t>
      </w:r>
      <w:r>
        <w:rPr>
          <w:rFonts w:ascii="Arial" w:hAnsi="Arial" w:cs="Arial"/>
        </w:rPr>
        <w:t>,</w:t>
      </w:r>
      <w:r w:rsidR="00365EDF">
        <w:rPr>
          <w:rFonts w:ascii="Arial" w:hAnsi="Arial" w:cs="Arial"/>
        </w:rPr>
        <w:t xml:space="preserve"> indicating</w:t>
      </w:r>
      <w:r w:rsidR="00043BB7" w:rsidRPr="004E19E7">
        <w:rPr>
          <w:rFonts w:ascii="Arial" w:hAnsi="Arial" w:cs="Arial"/>
        </w:rPr>
        <w:t xml:space="preserve"> the breakdown of the tariffs to be implemented in recognising own revenue from water</w:t>
      </w:r>
      <w:r w:rsidR="00365EDF">
        <w:rPr>
          <w:rFonts w:ascii="Arial" w:hAnsi="Arial" w:cs="Arial"/>
        </w:rPr>
        <w:t xml:space="preserve"> and sanitation</w:t>
      </w:r>
      <w:r w:rsidR="00043BB7" w:rsidRPr="004E19E7">
        <w:rPr>
          <w:rFonts w:ascii="Arial" w:hAnsi="Arial" w:cs="Arial"/>
        </w:rPr>
        <w:t xml:space="preserve"> services</w:t>
      </w:r>
      <w:r w:rsidR="00043BB7">
        <w:rPr>
          <w:rFonts w:ascii="Arial" w:hAnsi="Arial" w:cs="Arial"/>
        </w:rPr>
        <w:t>.</w:t>
      </w:r>
    </w:p>
    <w:p w:rsidR="00491127" w:rsidRDefault="00491127" w:rsidP="00387B6B">
      <w:pPr>
        <w:spacing w:after="0" w:line="360" w:lineRule="auto"/>
        <w:jc w:val="both"/>
        <w:rPr>
          <w:rFonts w:ascii="Arial" w:hAnsi="Arial" w:cs="Arial"/>
        </w:rPr>
      </w:pPr>
    </w:p>
    <w:p w:rsidR="00600DFC" w:rsidRDefault="001A185D" w:rsidP="00387B6B">
      <w:pPr>
        <w:spacing w:after="0" w:line="360" w:lineRule="auto"/>
        <w:rPr>
          <w:rFonts w:ascii="Arial" w:hAnsi="Arial" w:cs="Arial"/>
        </w:rPr>
      </w:pPr>
      <w:r>
        <w:rPr>
          <w:rFonts w:ascii="Arial" w:hAnsi="Arial" w:cs="Arial"/>
        </w:rPr>
        <w:t>The m</w:t>
      </w:r>
      <w:r w:rsidR="00600DFC" w:rsidRPr="001B5BC3">
        <w:rPr>
          <w:rFonts w:ascii="Arial" w:hAnsi="Arial" w:cs="Arial"/>
        </w:rPr>
        <w:t>unicipality</w:t>
      </w:r>
      <w:r w:rsidR="00600DFC" w:rsidRPr="00600DFC">
        <w:rPr>
          <w:rFonts w:ascii="Arial" w:hAnsi="Arial" w:cs="Arial"/>
        </w:rPr>
        <w:t xml:space="preserve"> </w:t>
      </w:r>
      <w:r w:rsidR="00872A5C">
        <w:rPr>
          <w:rFonts w:ascii="Arial" w:hAnsi="Arial" w:cs="Arial"/>
        </w:rPr>
        <w:t xml:space="preserve">is </w:t>
      </w:r>
      <w:r w:rsidR="00491127">
        <w:rPr>
          <w:rFonts w:ascii="Arial" w:hAnsi="Arial" w:cs="Arial"/>
        </w:rPr>
        <w:t xml:space="preserve">currently </w:t>
      </w:r>
      <w:r w:rsidR="00600DFC" w:rsidRPr="00600DFC">
        <w:rPr>
          <w:rFonts w:ascii="Arial" w:hAnsi="Arial" w:cs="Arial"/>
        </w:rPr>
        <w:t>review</w:t>
      </w:r>
      <w:r w:rsidR="00872A5C">
        <w:rPr>
          <w:rFonts w:ascii="Arial" w:hAnsi="Arial" w:cs="Arial"/>
        </w:rPr>
        <w:t>ing</w:t>
      </w:r>
      <w:r w:rsidR="00600DFC" w:rsidRPr="00600DFC">
        <w:rPr>
          <w:rFonts w:ascii="Arial" w:hAnsi="Arial" w:cs="Arial"/>
        </w:rPr>
        <w:t xml:space="preserve"> the level and structure of water and sanitation tariffs carefully with a view to ensur</w:t>
      </w:r>
      <w:r w:rsidR="00E74DBC">
        <w:rPr>
          <w:rFonts w:ascii="Arial" w:hAnsi="Arial" w:cs="Arial"/>
        </w:rPr>
        <w:t xml:space="preserve">ing </w:t>
      </w:r>
      <w:r w:rsidR="0097199A">
        <w:rPr>
          <w:rFonts w:ascii="Arial" w:hAnsi="Arial" w:cs="Arial"/>
        </w:rPr>
        <w:t>that:</w:t>
      </w:r>
      <w:r w:rsidR="00E74DBC">
        <w:rPr>
          <w:rFonts w:ascii="Arial" w:hAnsi="Arial" w:cs="Arial"/>
        </w:rPr>
        <w:t>-</w:t>
      </w:r>
    </w:p>
    <w:p w:rsidR="00600DFC" w:rsidRPr="00600DFC" w:rsidRDefault="00600DFC" w:rsidP="00387B6B">
      <w:pPr>
        <w:spacing w:after="0" w:line="360" w:lineRule="auto"/>
        <w:rPr>
          <w:rFonts w:ascii="Arial" w:hAnsi="Arial" w:cs="Arial"/>
        </w:rPr>
      </w:pPr>
    </w:p>
    <w:p w:rsidR="00600DFC" w:rsidRPr="00600DFC" w:rsidRDefault="00872A5C" w:rsidP="001B5BC3">
      <w:pPr>
        <w:numPr>
          <w:ilvl w:val="0"/>
          <w:numId w:val="43"/>
        </w:numPr>
        <w:spacing w:after="0" w:line="360" w:lineRule="auto"/>
        <w:rPr>
          <w:rFonts w:ascii="Arial" w:hAnsi="Arial" w:cs="Arial"/>
        </w:rPr>
      </w:pPr>
      <w:r>
        <w:rPr>
          <w:rFonts w:ascii="Arial" w:hAnsi="Arial" w:cs="Arial"/>
        </w:rPr>
        <w:t>T</w:t>
      </w:r>
      <w:r w:rsidR="00600DFC" w:rsidRPr="00600DFC">
        <w:rPr>
          <w:rFonts w:ascii="Arial" w:hAnsi="Arial" w:cs="Arial"/>
        </w:rPr>
        <w:t>ariffs are on aggregate</w:t>
      </w:r>
      <w:r w:rsidR="00365EDF">
        <w:rPr>
          <w:rFonts w:ascii="Arial" w:hAnsi="Arial" w:cs="Arial"/>
        </w:rPr>
        <w:t xml:space="preserve"> </w:t>
      </w:r>
      <w:r w:rsidR="00600DFC" w:rsidRPr="00600DFC">
        <w:rPr>
          <w:rFonts w:ascii="Arial" w:hAnsi="Arial" w:cs="Arial"/>
        </w:rPr>
        <w:t>fully cost-reflective – inclusive of bulk cost of water, the cost of maintenance of purification/treatment plants and network infrastructure</w:t>
      </w:r>
      <w:r w:rsidR="001B5BC3">
        <w:rPr>
          <w:rFonts w:ascii="Arial" w:hAnsi="Arial" w:cs="Arial"/>
        </w:rPr>
        <w:t>.</w:t>
      </w:r>
    </w:p>
    <w:p w:rsidR="00600DFC" w:rsidRPr="00600DFC" w:rsidRDefault="001B5BC3" w:rsidP="001B5BC3">
      <w:pPr>
        <w:numPr>
          <w:ilvl w:val="0"/>
          <w:numId w:val="43"/>
        </w:numPr>
        <w:spacing w:after="0" w:line="360" w:lineRule="auto"/>
        <w:rPr>
          <w:rFonts w:ascii="Arial" w:hAnsi="Arial" w:cs="Arial"/>
        </w:rPr>
      </w:pPr>
      <w:r>
        <w:rPr>
          <w:rFonts w:ascii="Arial" w:hAnsi="Arial" w:cs="Arial"/>
        </w:rPr>
        <w:t>T</w:t>
      </w:r>
      <w:r w:rsidR="00600DFC" w:rsidRPr="00600DFC">
        <w:rPr>
          <w:rFonts w:ascii="Arial" w:hAnsi="Arial" w:cs="Arial"/>
        </w:rPr>
        <w:t>ariffs are structured to protect basic levels of service; and</w:t>
      </w:r>
    </w:p>
    <w:p w:rsidR="00600DFC" w:rsidRPr="00600DFC" w:rsidRDefault="001B5BC3" w:rsidP="001B5BC3">
      <w:pPr>
        <w:numPr>
          <w:ilvl w:val="0"/>
          <w:numId w:val="43"/>
        </w:numPr>
        <w:spacing w:after="0" w:line="360" w:lineRule="auto"/>
        <w:rPr>
          <w:rFonts w:ascii="Arial" w:hAnsi="Arial" w:cs="Arial"/>
        </w:rPr>
      </w:pPr>
      <w:r>
        <w:rPr>
          <w:rFonts w:ascii="Arial" w:hAnsi="Arial" w:cs="Arial"/>
        </w:rPr>
        <w:t>T</w:t>
      </w:r>
      <w:r w:rsidR="00600DFC" w:rsidRPr="00600DFC">
        <w:rPr>
          <w:rFonts w:ascii="Arial" w:hAnsi="Arial" w:cs="Arial"/>
        </w:rPr>
        <w:t>ariffs are designed to encourage efficient and sustainable consumption (e.g. through inclining block tariffs).</w:t>
      </w:r>
    </w:p>
    <w:p w:rsidR="001321B7" w:rsidRDefault="001321B7" w:rsidP="00387B6B">
      <w:pPr>
        <w:spacing w:after="0" w:line="360" w:lineRule="auto"/>
        <w:rPr>
          <w:rFonts w:ascii="Arial" w:hAnsi="Arial" w:cs="Arial"/>
        </w:rPr>
      </w:pPr>
    </w:p>
    <w:p w:rsidR="001321B7" w:rsidRPr="001321B7" w:rsidRDefault="001321B7" w:rsidP="00387B6B">
      <w:pPr>
        <w:spacing w:after="0" w:line="360" w:lineRule="auto"/>
        <w:jc w:val="both"/>
        <w:rPr>
          <w:rFonts w:ascii="Arial" w:eastAsia="Gulim" w:hAnsi="Arial" w:cs="Arial"/>
          <w:lang w:eastAsia="ko-KR"/>
        </w:rPr>
      </w:pPr>
      <w:r w:rsidRPr="001321B7">
        <w:rPr>
          <w:rFonts w:ascii="Arial" w:eastAsiaTheme="minorHAnsi" w:hAnsi="Arial" w:cs="Arial"/>
          <w:lang w:val="en-GB" w:eastAsia="en-US"/>
        </w:rPr>
        <w:t>Better maintenance of infrastructure, new dam construction and cost-reflective tariffs will ensure that the supply challenges are managed in future to ensure sustainability</w:t>
      </w:r>
      <w:r w:rsidR="00496C50">
        <w:rPr>
          <w:rFonts w:ascii="Arial" w:eastAsiaTheme="minorHAnsi" w:hAnsi="Arial" w:cs="Arial"/>
          <w:lang w:val="en-GB" w:eastAsia="en-US"/>
        </w:rPr>
        <w:t>.</w:t>
      </w:r>
    </w:p>
    <w:p w:rsidR="001321B7" w:rsidRPr="001321B7" w:rsidRDefault="001321B7" w:rsidP="00387B6B">
      <w:pPr>
        <w:tabs>
          <w:tab w:val="left" w:pos="360"/>
        </w:tabs>
        <w:spacing w:after="0" w:line="360" w:lineRule="auto"/>
        <w:jc w:val="both"/>
        <w:rPr>
          <w:rFonts w:ascii="Arial" w:eastAsiaTheme="minorHAnsi" w:hAnsi="Arial" w:cs="Arial"/>
          <w:lang w:eastAsia="en-US"/>
        </w:rPr>
      </w:pPr>
    </w:p>
    <w:p w:rsidR="009E4551" w:rsidRPr="008D6BA7" w:rsidRDefault="00C90AD9" w:rsidP="00387B6B">
      <w:pPr>
        <w:pStyle w:val="Heading2"/>
        <w:spacing w:line="360" w:lineRule="auto"/>
        <w:rPr>
          <w:rFonts w:ascii="Arial" w:hAnsi="Arial" w:cs="Arial"/>
          <w:color w:val="auto"/>
          <w:szCs w:val="22"/>
        </w:rPr>
      </w:pPr>
      <w:bookmarkStart w:id="31" w:name="_Toc286034099"/>
      <w:bookmarkStart w:id="32" w:name="_Toc286034690"/>
      <w:bookmarkStart w:id="33" w:name="_Toc286041436"/>
      <w:bookmarkStart w:id="34" w:name="_Toc286041505"/>
      <w:bookmarkStart w:id="35" w:name="_Toc286117315"/>
      <w:bookmarkStart w:id="36" w:name="_Toc383769346"/>
      <w:bookmarkStart w:id="37" w:name="_Toc415060208"/>
      <w:r>
        <w:rPr>
          <w:rFonts w:ascii="Arial" w:hAnsi="Arial" w:cs="Arial"/>
          <w:color w:val="auto"/>
          <w:szCs w:val="22"/>
        </w:rPr>
        <w:t xml:space="preserve">Operating </w:t>
      </w:r>
      <w:r w:rsidR="009E4551" w:rsidRPr="008D6BA7">
        <w:rPr>
          <w:rFonts w:ascii="Arial" w:hAnsi="Arial" w:cs="Arial"/>
          <w:color w:val="auto"/>
          <w:szCs w:val="22"/>
        </w:rPr>
        <w:t>Expenditure Framework</w:t>
      </w:r>
      <w:bookmarkEnd w:id="31"/>
      <w:bookmarkEnd w:id="32"/>
      <w:bookmarkEnd w:id="33"/>
      <w:bookmarkEnd w:id="34"/>
      <w:bookmarkEnd w:id="35"/>
      <w:bookmarkEnd w:id="36"/>
      <w:bookmarkEnd w:id="37"/>
      <w:r w:rsidR="00E74DBC">
        <w:rPr>
          <w:rFonts w:ascii="Arial" w:hAnsi="Arial" w:cs="Arial"/>
          <w:color w:val="auto"/>
          <w:szCs w:val="22"/>
        </w:rPr>
        <w:t>:-</w:t>
      </w:r>
    </w:p>
    <w:p w:rsidR="009E4551" w:rsidRDefault="009E4551" w:rsidP="00387B6B">
      <w:pPr>
        <w:pStyle w:val="Paragraph"/>
        <w:tabs>
          <w:tab w:val="clear" w:pos="284"/>
          <w:tab w:val="clear" w:pos="567"/>
          <w:tab w:val="clear" w:pos="851"/>
        </w:tabs>
        <w:spacing w:after="0" w:line="360" w:lineRule="auto"/>
        <w:rPr>
          <w:rFonts w:ascii="Arial" w:hAnsi="Arial" w:cs="Arial"/>
          <w:b/>
          <w:szCs w:val="22"/>
        </w:rPr>
      </w:pPr>
    </w:p>
    <w:p w:rsidR="009E4551" w:rsidRDefault="00100728" w:rsidP="00387B6B">
      <w:pPr>
        <w:spacing w:after="0" w:line="360" w:lineRule="auto"/>
        <w:jc w:val="both"/>
        <w:rPr>
          <w:rFonts w:ascii="Arial" w:hAnsi="Arial" w:cs="Arial"/>
        </w:rPr>
      </w:pPr>
      <w:r w:rsidRPr="00AD6F0E">
        <w:rPr>
          <w:rFonts w:ascii="Arial" w:hAnsi="Arial" w:cs="Arial"/>
        </w:rPr>
        <w:t xml:space="preserve">The </w:t>
      </w:r>
      <w:r w:rsidR="00870700" w:rsidRPr="00AD6F0E">
        <w:rPr>
          <w:rFonts w:ascii="Arial" w:hAnsi="Arial" w:cs="Arial"/>
        </w:rPr>
        <w:t>municipality’s</w:t>
      </w:r>
      <w:r w:rsidR="00525D11">
        <w:rPr>
          <w:rFonts w:ascii="Arial" w:hAnsi="Arial" w:cs="Arial"/>
        </w:rPr>
        <w:t xml:space="preserve"> </w:t>
      </w:r>
      <w:r w:rsidR="00D40F49">
        <w:rPr>
          <w:rFonts w:ascii="Arial" w:hAnsi="Arial" w:cs="Arial"/>
        </w:rPr>
        <w:t xml:space="preserve">expenditure framework </w:t>
      </w:r>
      <w:r w:rsidR="00525D11">
        <w:rPr>
          <w:rFonts w:ascii="Arial" w:hAnsi="Arial" w:cs="Arial"/>
        </w:rPr>
        <w:t xml:space="preserve">for the </w:t>
      </w:r>
      <w:r w:rsidR="006706E5">
        <w:rPr>
          <w:rFonts w:ascii="Arial" w:hAnsi="Arial" w:cs="Arial"/>
        </w:rPr>
        <w:t>20</w:t>
      </w:r>
      <w:r w:rsidR="007E7413">
        <w:rPr>
          <w:rFonts w:ascii="Arial" w:hAnsi="Arial" w:cs="Arial"/>
        </w:rPr>
        <w:t>20</w:t>
      </w:r>
      <w:r w:rsidR="006706E5">
        <w:rPr>
          <w:rFonts w:ascii="Arial" w:hAnsi="Arial" w:cs="Arial"/>
        </w:rPr>
        <w:t>/</w:t>
      </w:r>
      <w:r w:rsidR="00E74DBC">
        <w:rPr>
          <w:rFonts w:ascii="Arial" w:hAnsi="Arial" w:cs="Arial"/>
        </w:rPr>
        <w:t>2</w:t>
      </w:r>
      <w:r w:rsidR="007E7413">
        <w:rPr>
          <w:rFonts w:ascii="Arial" w:hAnsi="Arial" w:cs="Arial"/>
        </w:rPr>
        <w:t>1</w:t>
      </w:r>
      <w:r w:rsidR="00525D11">
        <w:rPr>
          <w:rFonts w:ascii="Arial" w:hAnsi="Arial" w:cs="Arial"/>
        </w:rPr>
        <w:t xml:space="preserve"> MTREF </w:t>
      </w:r>
      <w:r w:rsidR="00440D45">
        <w:rPr>
          <w:rFonts w:ascii="Arial" w:hAnsi="Arial" w:cs="Arial"/>
        </w:rPr>
        <w:t xml:space="preserve">budget </w:t>
      </w:r>
      <w:r w:rsidR="00525D11">
        <w:rPr>
          <w:rFonts w:ascii="Arial" w:hAnsi="Arial" w:cs="Arial"/>
        </w:rPr>
        <w:t>is informed by the following:</w:t>
      </w:r>
    </w:p>
    <w:p w:rsidR="009E4551" w:rsidRDefault="009E4551" w:rsidP="00387B6B">
      <w:pPr>
        <w:spacing w:after="0" w:line="360" w:lineRule="auto"/>
        <w:jc w:val="both"/>
        <w:rPr>
          <w:rFonts w:ascii="Arial" w:hAnsi="Arial" w:cs="Arial"/>
        </w:rPr>
      </w:pPr>
    </w:p>
    <w:p w:rsidR="009E4551" w:rsidRDefault="009E4551" w:rsidP="00387B6B">
      <w:pPr>
        <w:numPr>
          <w:ilvl w:val="0"/>
          <w:numId w:val="5"/>
        </w:numPr>
        <w:tabs>
          <w:tab w:val="clear" w:pos="720"/>
          <w:tab w:val="num" w:pos="1418"/>
        </w:tabs>
        <w:spacing w:after="0" w:line="360" w:lineRule="auto"/>
        <w:ind w:left="709" w:hanging="709"/>
        <w:jc w:val="both"/>
        <w:rPr>
          <w:rFonts w:ascii="Arial" w:hAnsi="Arial" w:cs="Arial"/>
        </w:rPr>
      </w:pPr>
      <w:r>
        <w:rPr>
          <w:rFonts w:ascii="Arial" w:hAnsi="Arial" w:cs="Arial"/>
        </w:rPr>
        <w:t>Balanced budget constraint (</w:t>
      </w:r>
      <w:r w:rsidR="00525D11">
        <w:rPr>
          <w:rFonts w:ascii="Arial" w:hAnsi="Arial" w:cs="Arial"/>
        </w:rPr>
        <w:t xml:space="preserve">operating </w:t>
      </w:r>
      <w:r>
        <w:rPr>
          <w:rFonts w:ascii="Arial" w:hAnsi="Arial" w:cs="Arial"/>
        </w:rPr>
        <w:t xml:space="preserve">expenditure </w:t>
      </w:r>
      <w:r w:rsidR="00525D11">
        <w:rPr>
          <w:rFonts w:ascii="Arial" w:hAnsi="Arial" w:cs="Arial"/>
        </w:rPr>
        <w:t xml:space="preserve">should not </w:t>
      </w:r>
      <w:r>
        <w:rPr>
          <w:rFonts w:ascii="Arial" w:hAnsi="Arial" w:cs="Arial"/>
        </w:rPr>
        <w:t xml:space="preserve">exceed </w:t>
      </w:r>
      <w:r w:rsidR="00525D11">
        <w:rPr>
          <w:rFonts w:ascii="Arial" w:hAnsi="Arial" w:cs="Arial"/>
        </w:rPr>
        <w:t xml:space="preserve">operating </w:t>
      </w:r>
      <w:r>
        <w:rPr>
          <w:rFonts w:ascii="Arial" w:hAnsi="Arial" w:cs="Arial"/>
        </w:rPr>
        <w:t>revenue)</w:t>
      </w:r>
      <w:r w:rsidR="00D40F49">
        <w:rPr>
          <w:rFonts w:ascii="Arial" w:hAnsi="Arial" w:cs="Arial"/>
        </w:rPr>
        <w:t xml:space="preserve"> unless </w:t>
      </w:r>
      <w:r w:rsidR="00525D11">
        <w:rPr>
          <w:rFonts w:ascii="Arial" w:hAnsi="Arial" w:cs="Arial"/>
        </w:rPr>
        <w:t xml:space="preserve">there are existing uncommitted </w:t>
      </w:r>
      <w:r w:rsidR="00D40F49">
        <w:rPr>
          <w:rFonts w:ascii="Arial" w:hAnsi="Arial" w:cs="Arial"/>
        </w:rPr>
        <w:t>cash</w:t>
      </w:r>
      <w:r w:rsidR="00525D11">
        <w:rPr>
          <w:rFonts w:ascii="Arial" w:hAnsi="Arial" w:cs="Arial"/>
        </w:rPr>
        <w:t>-</w:t>
      </w:r>
      <w:r w:rsidR="00D40F49">
        <w:rPr>
          <w:rFonts w:ascii="Arial" w:hAnsi="Arial" w:cs="Arial"/>
        </w:rPr>
        <w:t>backed reserves</w:t>
      </w:r>
      <w:r w:rsidR="00525D11">
        <w:rPr>
          <w:rFonts w:ascii="Arial" w:hAnsi="Arial" w:cs="Arial"/>
        </w:rPr>
        <w:t xml:space="preserve"> to fund any deficit</w:t>
      </w:r>
      <w:r w:rsidR="00D40F49">
        <w:rPr>
          <w:rFonts w:ascii="Arial" w:hAnsi="Arial" w:cs="Arial"/>
        </w:rPr>
        <w:t>;</w:t>
      </w:r>
    </w:p>
    <w:p w:rsidR="0098723D" w:rsidRDefault="0098723D" w:rsidP="00387B6B">
      <w:pPr>
        <w:numPr>
          <w:ilvl w:val="0"/>
          <w:numId w:val="5"/>
        </w:numPr>
        <w:tabs>
          <w:tab w:val="clear" w:pos="720"/>
          <w:tab w:val="num" w:pos="1418"/>
        </w:tabs>
        <w:spacing w:after="0" w:line="360" w:lineRule="auto"/>
        <w:ind w:left="709" w:hanging="709"/>
        <w:jc w:val="both"/>
        <w:rPr>
          <w:rFonts w:ascii="Arial" w:hAnsi="Arial" w:cs="Arial"/>
        </w:rPr>
      </w:pPr>
      <w:r>
        <w:rPr>
          <w:rFonts w:ascii="Arial" w:hAnsi="Arial" w:cs="Arial"/>
        </w:rPr>
        <w:t>Funding of the budget over the medium-term as informed by Section 18 and 19 of the MFMA;</w:t>
      </w:r>
    </w:p>
    <w:p w:rsidR="009E4551" w:rsidRDefault="00525D11" w:rsidP="00387B6B">
      <w:pPr>
        <w:numPr>
          <w:ilvl w:val="0"/>
          <w:numId w:val="5"/>
        </w:numPr>
        <w:tabs>
          <w:tab w:val="clear" w:pos="720"/>
          <w:tab w:val="num" w:pos="1418"/>
        </w:tabs>
        <w:spacing w:after="0" w:line="360" w:lineRule="auto"/>
        <w:ind w:left="709" w:hanging="709"/>
        <w:jc w:val="both"/>
        <w:rPr>
          <w:rFonts w:ascii="Arial" w:hAnsi="Arial" w:cs="Arial"/>
        </w:rPr>
      </w:pPr>
      <w:r>
        <w:rPr>
          <w:rFonts w:ascii="Arial" w:hAnsi="Arial" w:cs="Arial"/>
        </w:rPr>
        <w:t>The c</w:t>
      </w:r>
      <w:r w:rsidR="009E4551">
        <w:rPr>
          <w:rFonts w:ascii="Arial" w:hAnsi="Arial" w:cs="Arial"/>
        </w:rPr>
        <w:t xml:space="preserve">apital programme </w:t>
      </w:r>
      <w:r>
        <w:rPr>
          <w:rFonts w:ascii="Arial" w:hAnsi="Arial" w:cs="Arial"/>
        </w:rPr>
        <w:t xml:space="preserve">is </w:t>
      </w:r>
      <w:r w:rsidR="009E4551">
        <w:rPr>
          <w:rFonts w:ascii="Arial" w:hAnsi="Arial" w:cs="Arial"/>
        </w:rPr>
        <w:t xml:space="preserve">aligned to </w:t>
      </w:r>
      <w:r>
        <w:rPr>
          <w:rFonts w:ascii="Arial" w:hAnsi="Arial" w:cs="Arial"/>
        </w:rPr>
        <w:t xml:space="preserve">the </w:t>
      </w:r>
      <w:r w:rsidR="009E4551">
        <w:rPr>
          <w:rFonts w:ascii="Arial" w:hAnsi="Arial" w:cs="Arial"/>
        </w:rPr>
        <w:t>asset renewal strategy and backlog eradication</w:t>
      </w:r>
      <w:r>
        <w:rPr>
          <w:rFonts w:ascii="Arial" w:hAnsi="Arial" w:cs="Arial"/>
        </w:rPr>
        <w:t xml:space="preserve"> plan</w:t>
      </w:r>
      <w:r w:rsidR="00D40F49">
        <w:rPr>
          <w:rFonts w:ascii="Arial" w:hAnsi="Arial" w:cs="Arial"/>
        </w:rPr>
        <w:t>;</w:t>
      </w:r>
    </w:p>
    <w:p w:rsidR="009E4551" w:rsidRDefault="009E4551" w:rsidP="00387B6B">
      <w:pPr>
        <w:numPr>
          <w:ilvl w:val="0"/>
          <w:numId w:val="5"/>
        </w:numPr>
        <w:tabs>
          <w:tab w:val="clear" w:pos="720"/>
          <w:tab w:val="num" w:pos="1418"/>
        </w:tabs>
        <w:spacing w:after="0" w:line="360" w:lineRule="auto"/>
        <w:ind w:left="709" w:hanging="709"/>
        <w:jc w:val="both"/>
        <w:rPr>
          <w:rFonts w:ascii="Arial" w:hAnsi="Arial" w:cs="Arial"/>
        </w:rPr>
      </w:pPr>
      <w:r>
        <w:rPr>
          <w:rFonts w:ascii="Arial" w:hAnsi="Arial" w:cs="Arial"/>
        </w:rPr>
        <w:t xml:space="preserve">Operational gains and efficiencies </w:t>
      </w:r>
      <w:r w:rsidR="00525D11">
        <w:rPr>
          <w:rFonts w:ascii="Arial" w:hAnsi="Arial" w:cs="Arial"/>
        </w:rPr>
        <w:t>will be directed to funding the capital</w:t>
      </w:r>
      <w:r w:rsidR="0098723D">
        <w:rPr>
          <w:rFonts w:ascii="Arial" w:hAnsi="Arial" w:cs="Arial"/>
        </w:rPr>
        <w:t xml:space="preserve"> budget and other core services</w:t>
      </w:r>
      <w:r w:rsidR="00D40F49">
        <w:rPr>
          <w:rFonts w:ascii="Arial" w:hAnsi="Arial" w:cs="Arial"/>
        </w:rPr>
        <w:t xml:space="preserve">; </w:t>
      </w:r>
    </w:p>
    <w:p w:rsidR="00AD7D82" w:rsidRDefault="00AD7D82" w:rsidP="00387B6B">
      <w:pPr>
        <w:numPr>
          <w:ilvl w:val="0"/>
          <w:numId w:val="5"/>
        </w:numPr>
        <w:tabs>
          <w:tab w:val="clear" w:pos="720"/>
          <w:tab w:val="num" w:pos="1418"/>
        </w:tabs>
        <w:spacing w:after="0" w:line="360" w:lineRule="auto"/>
        <w:ind w:left="709" w:hanging="709"/>
        <w:jc w:val="both"/>
        <w:rPr>
          <w:rFonts w:ascii="Arial" w:hAnsi="Arial" w:cs="Arial"/>
        </w:rPr>
      </w:pPr>
      <w:r>
        <w:rPr>
          <w:rFonts w:ascii="Arial" w:hAnsi="Arial" w:cs="Arial"/>
        </w:rPr>
        <w:t>The municipality is striving to eliminate all non-priority spending</w:t>
      </w:r>
      <w:r w:rsidR="00365EDF">
        <w:rPr>
          <w:rFonts w:ascii="Arial" w:hAnsi="Arial" w:cs="Arial"/>
        </w:rPr>
        <w:t>;</w:t>
      </w:r>
      <w:r w:rsidR="00546836">
        <w:rPr>
          <w:rFonts w:ascii="Arial" w:hAnsi="Arial" w:cs="Arial"/>
        </w:rPr>
        <w:t xml:space="preserve"> and </w:t>
      </w:r>
    </w:p>
    <w:p w:rsidR="00FE0023" w:rsidRDefault="00FE0023" w:rsidP="00387B6B">
      <w:pPr>
        <w:numPr>
          <w:ilvl w:val="0"/>
          <w:numId w:val="5"/>
        </w:numPr>
        <w:tabs>
          <w:tab w:val="clear" w:pos="720"/>
          <w:tab w:val="num" w:pos="1418"/>
        </w:tabs>
        <w:spacing w:after="0" w:line="360" w:lineRule="auto"/>
        <w:ind w:left="709" w:hanging="709"/>
        <w:jc w:val="both"/>
        <w:rPr>
          <w:rFonts w:ascii="Arial" w:hAnsi="Arial" w:cs="Arial"/>
        </w:rPr>
      </w:pPr>
      <w:r>
        <w:rPr>
          <w:rFonts w:ascii="Arial" w:hAnsi="Arial" w:cs="Arial"/>
        </w:rPr>
        <w:t>The municipality is to implement the cost containment measures</w:t>
      </w:r>
      <w:r w:rsidR="00365EDF">
        <w:rPr>
          <w:rFonts w:ascii="Arial" w:hAnsi="Arial" w:cs="Arial"/>
        </w:rPr>
        <w:t xml:space="preserve"> continu</w:t>
      </w:r>
      <w:r w:rsidR="00546836">
        <w:rPr>
          <w:rFonts w:ascii="Arial" w:hAnsi="Arial" w:cs="Arial"/>
        </w:rPr>
        <w:t>ously.</w:t>
      </w:r>
    </w:p>
    <w:p w:rsidR="00496C50" w:rsidRPr="00365EDF" w:rsidRDefault="00496C50" w:rsidP="001648BE">
      <w:pPr>
        <w:spacing w:after="0" w:line="360" w:lineRule="auto"/>
        <w:ind w:left="709"/>
        <w:jc w:val="both"/>
        <w:rPr>
          <w:rFonts w:ascii="Arial" w:hAnsi="Arial" w:cs="Arial"/>
        </w:rPr>
      </w:pPr>
    </w:p>
    <w:p w:rsidR="009E4551" w:rsidRDefault="009E4551" w:rsidP="00387B6B">
      <w:pPr>
        <w:autoSpaceDE w:val="0"/>
        <w:autoSpaceDN w:val="0"/>
        <w:adjustRightInd w:val="0"/>
        <w:spacing w:after="0" w:line="360" w:lineRule="auto"/>
        <w:rPr>
          <w:rFonts w:ascii="Arial" w:hAnsi="Arial" w:cs="Arial"/>
        </w:rPr>
      </w:pPr>
    </w:p>
    <w:p w:rsidR="00FE0023" w:rsidRDefault="009E4551" w:rsidP="00387B6B">
      <w:pPr>
        <w:spacing w:after="0" w:line="360" w:lineRule="auto"/>
        <w:jc w:val="both"/>
        <w:rPr>
          <w:rFonts w:ascii="Arial" w:hAnsi="Arial"/>
        </w:rPr>
      </w:pPr>
      <w:r w:rsidRPr="001879FF">
        <w:rPr>
          <w:rFonts w:ascii="Arial" w:hAnsi="Arial"/>
        </w:rPr>
        <w:t>The following table is a high level summary of the</w:t>
      </w:r>
      <w:r>
        <w:rPr>
          <w:rFonts w:ascii="Arial" w:hAnsi="Arial"/>
        </w:rPr>
        <w:t xml:space="preserve"> </w:t>
      </w:r>
      <w:r w:rsidR="006706E5">
        <w:rPr>
          <w:rFonts w:ascii="Arial" w:hAnsi="Arial"/>
        </w:rPr>
        <w:t>20</w:t>
      </w:r>
      <w:r w:rsidR="00AD6F0E">
        <w:rPr>
          <w:rFonts w:ascii="Arial" w:hAnsi="Arial"/>
        </w:rPr>
        <w:t>20</w:t>
      </w:r>
      <w:r w:rsidR="00983FA7">
        <w:rPr>
          <w:rFonts w:ascii="Arial" w:hAnsi="Arial"/>
        </w:rPr>
        <w:t>/</w:t>
      </w:r>
      <w:r w:rsidR="00E74DBC">
        <w:rPr>
          <w:rFonts w:ascii="Arial" w:hAnsi="Arial"/>
        </w:rPr>
        <w:t>2</w:t>
      </w:r>
      <w:r w:rsidR="00AD6F0E">
        <w:rPr>
          <w:rFonts w:ascii="Arial" w:hAnsi="Arial"/>
        </w:rPr>
        <w:t>1</w:t>
      </w:r>
      <w:r w:rsidRPr="001879FF">
        <w:rPr>
          <w:rFonts w:ascii="Arial" w:hAnsi="Arial"/>
        </w:rPr>
        <w:t xml:space="preserve"> </w:t>
      </w:r>
      <w:r w:rsidR="00525D11">
        <w:rPr>
          <w:rFonts w:ascii="Arial" w:hAnsi="Arial"/>
        </w:rPr>
        <w:t>MTREF</w:t>
      </w:r>
      <w:r w:rsidR="00546836">
        <w:rPr>
          <w:rFonts w:ascii="Arial" w:hAnsi="Arial"/>
        </w:rPr>
        <w:t xml:space="preserve"> </w:t>
      </w:r>
      <w:r w:rsidR="00686158">
        <w:rPr>
          <w:rFonts w:ascii="Arial" w:hAnsi="Arial"/>
        </w:rPr>
        <w:t>budget (</w:t>
      </w:r>
      <w:r w:rsidRPr="001879FF">
        <w:rPr>
          <w:rFonts w:ascii="Arial" w:hAnsi="Arial"/>
        </w:rPr>
        <w:t xml:space="preserve">classified per main </w:t>
      </w:r>
      <w:r w:rsidR="00D40F49">
        <w:rPr>
          <w:rFonts w:ascii="Arial" w:hAnsi="Arial"/>
        </w:rPr>
        <w:t xml:space="preserve">type </w:t>
      </w:r>
      <w:r w:rsidRPr="001879FF">
        <w:rPr>
          <w:rFonts w:ascii="Arial" w:hAnsi="Arial"/>
        </w:rPr>
        <w:t xml:space="preserve">of </w:t>
      </w:r>
      <w:r w:rsidR="00D40F49">
        <w:rPr>
          <w:rFonts w:ascii="Arial" w:hAnsi="Arial"/>
        </w:rPr>
        <w:t xml:space="preserve">operating </w:t>
      </w:r>
      <w:r w:rsidRPr="001879FF">
        <w:rPr>
          <w:rFonts w:ascii="Arial" w:hAnsi="Arial"/>
        </w:rPr>
        <w:t>expenditure)</w:t>
      </w:r>
      <w:r w:rsidR="00D40F49">
        <w:rPr>
          <w:rFonts w:ascii="Arial" w:hAnsi="Arial"/>
        </w:rPr>
        <w:t>:</w:t>
      </w:r>
    </w:p>
    <w:p w:rsidR="00FE0023" w:rsidRDefault="00FE0023" w:rsidP="00387B6B">
      <w:pPr>
        <w:spacing w:after="0" w:line="360" w:lineRule="auto"/>
        <w:jc w:val="both"/>
        <w:rPr>
          <w:rFonts w:ascii="Arial" w:hAnsi="Arial"/>
        </w:rPr>
      </w:pPr>
    </w:p>
    <w:p w:rsidR="00686158" w:rsidRPr="00686158" w:rsidRDefault="00686158" w:rsidP="00686158">
      <w:bookmarkStart w:id="38" w:name="_Toc287342454"/>
      <w:bookmarkStart w:id="39" w:name="_Toc415060209"/>
    </w:p>
    <w:p w:rsidR="00086423" w:rsidRPr="00086423" w:rsidRDefault="002216E1" w:rsidP="00465BB6">
      <w:pPr>
        <w:pStyle w:val="Heading3"/>
        <w:numPr>
          <w:ilvl w:val="0"/>
          <w:numId w:val="0"/>
        </w:numPr>
        <w:spacing w:line="360" w:lineRule="auto"/>
      </w:pPr>
      <w:r w:rsidRPr="00703540">
        <w:rPr>
          <w:rFonts w:ascii="Arial" w:hAnsi="Arial" w:cs="Arial"/>
          <w:color w:val="auto"/>
        </w:rPr>
        <w:t xml:space="preserve">Table </w:t>
      </w:r>
      <w:r w:rsidR="00287A64">
        <w:rPr>
          <w:rFonts w:ascii="Arial" w:hAnsi="Arial" w:cs="Arial"/>
          <w:color w:val="auto"/>
        </w:rPr>
        <w:t>5</w:t>
      </w:r>
      <w:r w:rsidR="00FE0023" w:rsidRPr="00703540">
        <w:rPr>
          <w:rFonts w:ascii="Arial" w:hAnsi="Arial" w:cs="Arial"/>
          <w:color w:val="auto"/>
        </w:rPr>
        <w:t xml:space="preserve"> Summary</w:t>
      </w:r>
      <w:r w:rsidR="00525D11" w:rsidRPr="00703540">
        <w:rPr>
          <w:rFonts w:ascii="Arial" w:hAnsi="Arial" w:cs="Arial"/>
          <w:color w:val="auto"/>
        </w:rPr>
        <w:t xml:space="preserve"> of operating expenditure</w:t>
      </w:r>
      <w:r w:rsidRPr="00703540">
        <w:rPr>
          <w:rFonts w:ascii="Arial" w:hAnsi="Arial" w:cs="Arial"/>
          <w:color w:val="auto"/>
        </w:rPr>
        <w:t xml:space="preserve"> by standard classification item</w:t>
      </w:r>
      <w:bookmarkEnd w:id="38"/>
      <w:bookmarkEnd w:id="39"/>
      <w:r w:rsidR="00DF2818">
        <w:rPr>
          <w:rFonts w:ascii="Arial" w:hAnsi="Arial" w:cs="Arial"/>
          <w:color w:val="auto"/>
        </w:rPr>
        <w:t>s</w:t>
      </w:r>
      <w:r w:rsidR="00F24A9A">
        <w:rPr>
          <w:rFonts w:ascii="Arial" w:hAnsi="Arial" w:cs="Arial"/>
          <w:color w:val="auto"/>
        </w:rPr>
        <w:t xml:space="preserve">:- </w:t>
      </w:r>
      <w:r w:rsidR="001648BE">
        <w:rPr>
          <w:rFonts w:ascii="Arial" w:hAnsi="Arial" w:cs="Arial"/>
          <w:color w:val="auto"/>
        </w:rPr>
        <w:t xml:space="preserve"> </w:t>
      </w:r>
    </w:p>
    <w:p w:rsidR="00DF2818" w:rsidRPr="00BC34DC" w:rsidRDefault="00174D5A" w:rsidP="00387B6B">
      <w:pPr>
        <w:spacing w:line="360" w:lineRule="auto"/>
        <w:rPr>
          <w:sz w:val="14"/>
          <w:szCs w:val="14"/>
        </w:rPr>
      </w:pPr>
      <w:r w:rsidRPr="00174D5A">
        <w:rPr>
          <w:noProof/>
          <w:lang w:val="en-US" w:eastAsia="en-US"/>
        </w:rPr>
        <w:drawing>
          <wp:inline distT="0" distB="0" distL="0" distR="0">
            <wp:extent cx="6551169" cy="316992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57458" cy="3172963"/>
                    </a:xfrm>
                    <a:prstGeom prst="rect">
                      <a:avLst/>
                    </a:prstGeom>
                    <a:noFill/>
                    <a:ln>
                      <a:noFill/>
                    </a:ln>
                  </pic:spPr>
                </pic:pic>
              </a:graphicData>
            </a:graphic>
          </wp:inline>
        </w:drawing>
      </w:r>
    </w:p>
    <w:p w:rsidR="00D87635" w:rsidRPr="00020722" w:rsidRDefault="002216E1" w:rsidP="00387B6B">
      <w:pPr>
        <w:spacing w:after="0" w:line="360" w:lineRule="auto"/>
        <w:jc w:val="both"/>
        <w:rPr>
          <w:rFonts w:ascii="Arial" w:hAnsi="Arial" w:cs="Arial"/>
        </w:rPr>
      </w:pPr>
      <w:r>
        <w:rPr>
          <w:rFonts w:ascii="Arial" w:hAnsi="Arial" w:cs="Arial"/>
        </w:rPr>
        <w:t>The budgeted allocation for employee related costs</w:t>
      </w:r>
      <w:r w:rsidR="00D87635">
        <w:rPr>
          <w:rFonts w:ascii="Arial" w:hAnsi="Arial" w:cs="Arial"/>
        </w:rPr>
        <w:t xml:space="preserve"> for </w:t>
      </w:r>
      <w:r w:rsidR="006706E5">
        <w:rPr>
          <w:rFonts w:ascii="Arial" w:hAnsi="Arial" w:cs="Arial"/>
        </w:rPr>
        <w:t>20</w:t>
      </w:r>
      <w:r w:rsidR="00AD6F0E">
        <w:rPr>
          <w:rFonts w:ascii="Arial" w:hAnsi="Arial" w:cs="Arial"/>
        </w:rPr>
        <w:t>20</w:t>
      </w:r>
      <w:r w:rsidR="006706E5">
        <w:rPr>
          <w:rFonts w:ascii="Arial" w:hAnsi="Arial" w:cs="Arial"/>
        </w:rPr>
        <w:t>/</w:t>
      </w:r>
      <w:r w:rsidR="00B5110F">
        <w:rPr>
          <w:rFonts w:ascii="Arial" w:hAnsi="Arial" w:cs="Arial"/>
        </w:rPr>
        <w:t>2</w:t>
      </w:r>
      <w:r w:rsidR="00AD6F0E">
        <w:rPr>
          <w:rFonts w:ascii="Arial" w:hAnsi="Arial" w:cs="Arial"/>
        </w:rPr>
        <w:t>1</w:t>
      </w:r>
      <w:r w:rsidR="00D87635">
        <w:rPr>
          <w:rFonts w:ascii="Arial" w:hAnsi="Arial" w:cs="Arial"/>
        </w:rPr>
        <w:t xml:space="preserve"> financial year totals R</w:t>
      </w:r>
      <w:r w:rsidR="00920DCF">
        <w:rPr>
          <w:rFonts w:ascii="Arial" w:hAnsi="Arial" w:cs="Arial"/>
        </w:rPr>
        <w:t xml:space="preserve"> </w:t>
      </w:r>
      <w:r w:rsidR="00C7298A" w:rsidRPr="00312346">
        <w:rPr>
          <w:rFonts w:ascii="Arial" w:hAnsi="Arial" w:cs="Arial"/>
        </w:rPr>
        <w:t>3</w:t>
      </w:r>
      <w:r w:rsidR="00774412">
        <w:rPr>
          <w:rFonts w:ascii="Arial" w:hAnsi="Arial" w:cs="Arial"/>
        </w:rPr>
        <w:t>71</w:t>
      </w:r>
      <w:r w:rsidR="00920DCF" w:rsidRPr="00312346">
        <w:rPr>
          <w:rFonts w:ascii="Arial" w:hAnsi="Arial" w:cs="Arial"/>
        </w:rPr>
        <w:t>.</w:t>
      </w:r>
      <w:r w:rsidR="00774412">
        <w:rPr>
          <w:rFonts w:ascii="Arial" w:hAnsi="Arial" w:cs="Arial"/>
        </w:rPr>
        <w:t>5</w:t>
      </w:r>
      <w:r w:rsidR="00BC3883" w:rsidRPr="00B5110F">
        <w:rPr>
          <w:rFonts w:ascii="Arial" w:hAnsi="Arial" w:cs="Arial"/>
          <w:color w:val="FF0000"/>
        </w:rPr>
        <w:t xml:space="preserve"> </w:t>
      </w:r>
      <w:r w:rsidR="00BC3883">
        <w:rPr>
          <w:rFonts w:ascii="Arial" w:hAnsi="Arial" w:cs="Arial"/>
        </w:rPr>
        <w:t>million</w:t>
      </w:r>
      <w:r>
        <w:rPr>
          <w:rFonts w:ascii="Arial" w:hAnsi="Arial" w:cs="Arial"/>
        </w:rPr>
        <w:t xml:space="preserve">, which equals </w:t>
      </w:r>
      <w:r w:rsidR="00AD6F0E">
        <w:rPr>
          <w:rFonts w:ascii="Arial" w:hAnsi="Arial" w:cs="Arial"/>
        </w:rPr>
        <w:t>3</w:t>
      </w:r>
      <w:r w:rsidR="00774412">
        <w:rPr>
          <w:rFonts w:ascii="Arial" w:hAnsi="Arial" w:cs="Arial"/>
        </w:rPr>
        <w:t>5</w:t>
      </w:r>
      <w:r w:rsidR="00AD6F0E">
        <w:rPr>
          <w:rFonts w:ascii="Arial" w:hAnsi="Arial" w:cs="Arial"/>
        </w:rPr>
        <w:t>.</w:t>
      </w:r>
      <w:r w:rsidR="00774412">
        <w:rPr>
          <w:rFonts w:ascii="Arial" w:hAnsi="Arial" w:cs="Arial"/>
        </w:rPr>
        <w:t>5</w:t>
      </w:r>
      <w:r w:rsidR="00C7298A">
        <w:rPr>
          <w:rFonts w:ascii="Arial" w:hAnsi="Arial" w:cs="Arial"/>
        </w:rPr>
        <w:t xml:space="preserve"> </w:t>
      </w:r>
      <w:r w:rsidR="001648BE">
        <w:rPr>
          <w:rFonts w:ascii="Arial" w:hAnsi="Arial" w:cs="Arial"/>
        </w:rPr>
        <w:t xml:space="preserve">% </w:t>
      </w:r>
      <w:r w:rsidR="00D87635">
        <w:rPr>
          <w:rFonts w:ascii="Arial" w:hAnsi="Arial" w:cs="Arial"/>
        </w:rPr>
        <w:t xml:space="preserve">of the total operating expenditure. </w:t>
      </w:r>
      <w:r w:rsidR="000428D0">
        <w:rPr>
          <w:rFonts w:ascii="Arial" w:hAnsi="Arial" w:cs="Arial"/>
        </w:rPr>
        <w:t xml:space="preserve"> </w:t>
      </w:r>
      <w:r w:rsidR="00D87635">
        <w:rPr>
          <w:rFonts w:ascii="Arial" w:hAnsi="Arial" w:cs="Arial"/>
        </w:rPr>
        <w:t xml:space="preserve">Based on the three year </w:t>
      </w:r>
      <w:r w:rsidR="007130EA" w:rsidRPr="007130EA">
        <w:rPr>
          <w:rFonts w:ascii="Arial" w:hAnsi="Arial" w:cs="Arial"/>
        </w:rPr>
        <w:t xml:space="preserve">Salary and Wage Collective </w:t>
      </w:r>
      <w:r w:rsidR="00EE48A1" w:rsidRPr="007130EA">
        <w:rPr>
          <w:rFonts w:ascii="Arial" w:hAnsi="Arial" w:cs="Arial"/>
        </w:rPr>
        <w:t>Agreement</w:t>
      </w:r>
      <w:r w:rsidR="00EE48A1">
        <w:rPr>
          <w:rFonts w:ascii="Arial" w:hAnsi="Arial" w:cs="Arial"/>
        </w:rPr>
        <w:t>,</w:t>
      </w:r>
      <w:r w:rsidR="00D87635">
        <w:rPr>
          <w:rFonts w:ascii="Arial" w:hAnsi="Arial" w:cs="Arial"/>
        </w:rPr>
        <w:t xml:space="preserve"> salary increases have been factored int</w:t>
      </w:r>
      <w:r>
        <w:rPr>
          <w:rFonts w:ascii="Arial" w:hAnsi="Arial" w:cs="Arial"/>
        </w:rPr>
        <w:t xml:space="preserve">o this budget </w:t>
      </w:r>
      <w:r w:rsidR="00D87635">
        <w:rPr>
          <w:rFonts w:ascii="Arial" w:hAnsi="Arial" w:cs="Arial"/>
        </w:rPr>
        <w:t xml:space="preserve">at a percentage increase of </w:t>
      </w:r>
      <w:r w:rsidR="00C71FE4" w:rsidRPr="00312346">
        <w:rPr>
          <w:rFonts w:ascii="Arial" w:hAnsi="Arial" w:cs="Arial"/>
        </w:rPr>
        <w:t>7</w:t>
      </w:r>
      <w:r w:rsidR="00AD6F0E">
        <w:rPr>
          <w:rFonts w:ascii="Arial" w:hAnsi="Arial" w:cs="Arial"/>
        </w:rPr>
        <w:t xml:space="preserve"> </w:t>
      </w:r>
      <w:r w:rsidR="001648BE">
        <w:rPr>
          <w:rFonts w:ascii="Arial" w:hAnsi="Arial" w:cs="Arial"/>
        </w:rPr>
        <w:t>%</w:t>
      </w:r>
      <w:r w:rsidR="00D87635">
        <w:rPr>
          <w:rFonts w:ascii="Arial" w:hAnsi="Arial" w:cs="Arial"/>
        </w:rPr>
        <w:t xml:space="preserve"> for the </w:t>
      </w:r>
      <w:r w:rsidR="006706E5">
        <w:rPr>
          <w:rFonts w:ascii="Arial" w:hAnsi="Arial" w:cs="Arial"/>
        </w:rPr>
        <w:t>20</w:t>
      </w:r>
      <w:r w:rsidR="00AD6F0E">
        <w:rPr>
          <w:rFonts w:ascii="Arial" w:hAnsi="Arial" w:cs="Arial"/>
        </w:rPr>
        <w:t>20</w:t>
      </w:r>
      <w:r w:rsidR="006706E5">
        <w:rPr>
          <w:rFonts w:ascii="Arial" w:hAnsi="Arial" w:cs="Arial"/>
        </w:rPr>
        <w:t>/</w:t>
      </w:r>
      <w:r w:rsidR="00B5110F">
        <w:rPr>
          <w:rFonts w:ascii="Arial" w:hAnsi="Arial" w:cs="Arial"/>
        </w:rPr>
        <w:t>2</w:t>
      </w:r>
      <w:r w:rsidR="00AD6F0E">
        <w:rPr>
          <w:rFonts w:ascii="Arial" w:hAnsi="Arial" w:cs="Arial"/>
        </w:rPr>
        <w:t>1</w:t>
      </w:r>
      <w:r w:rsidR="00D87635">
        <w:rPr>
          <w:rFonts w:ascii="Arial" w:hAnsi="Arial" w:cs="Arial"/>
        </w:rPr>
        <w:t xml:space="preserve"> financial year</w:t>
      </w:r>
      <w:r w:rsidR="00C05F6E">
        <w:rPr>
          <w:rFonts w:ascii="Arial" w:hAnsi="Arial" w:cs="Arial"/>
        </w:rPr>
        <w:t>.</w:t>
      </w:r>
      <w:r w:rsidR="000428D0">
        <w:rPr>
          <w:rFonts w:ascii="Arial" w:hAnsi="Arial" w:cs="Arial"/>
        </w:rPr>
        <w:t xml:space="preserve"> </w:t>
      </w:r>
      <w:r w:rsidR="00D87635">
        <w:rPr>
          <w:rFonts w:ascii="Arial" w:hAnsi="Arial" w:cs="Arial"/>
        </w:rPr>
        <w:t xml:space="preserve">An </w:t>
      </w:r>
      <w:r w:rsidR="00581CBA">
        <w:rPr>
          <w:rFonts w:ascii="Arial" w:hAnsi="Arial" w:cs="Arial"/>
        </w:rPr>
        <w:t xml:space="preserve">annual </w:t>
      </w:r>
      <w:r w:rsidR="00D87635">
        <w:rPr>
          <w:rFonts w:ascii="Arial" w:hAnsi="Arial" w:cs="Arial"/>
        </w:rPr>
        <w:t xml:space="preserve">increase of </w:t>
      </w:r>
      <w:r w:rsidR="00BC3883" w:rsidRPr="00312346">
        <w:rPr>
          <w:rFonts w:ascii="Arial" w:hAnsi="Arial" w:cs="Arial"/>
        </w:rPr>
        <w:t>6</w:t>
      </w:r>
      <w:r w:rsidR="00312346" w:rsidRPr="00312346">
        <w:rPr>
          <w:rFonts w:ascii="Arial" w:hAnsi="Arial" w:cs="Arial"/>
        </w:rPr>
        <w:t>.9</w:t>
      </w:r>
      <w:r w:rsidR="00312346">
        <w:rPr>
          <w:rFonts w:ascii="Arial" w:hAnsi="Arial" w:cs="Arial"/>
          <w:color w:val="FF0000"/>
        </w:rPr>
        <w:t xml:space="preserve"> </w:t>
      </w:r>
      <w:r w:rsidR="00C05F6E">
        <w:rPr>
          <w:rFonts w:ascii="Arial" w:hAnsi="Arial" w:cs="Arial"/>
        </w:rPr>
        <w:t>%</w:t>
      </w:r>
      <w:r w:rsidR="00D87635">
        <w:rPr>
          <w:rFonts w:ascii="Arial" w:hAnsi="Arial" w:cs="Arial"/>
        </w:rPr>
        <w:t xml:space="preserve"> has been included in the </w:t>
      </w:r>
      <w:r w:rsidR="00C71FE4">
        <w:rPr>
          <w:rFonts w:ascii="Arial" w:hAnsi="Arial" w:cs="Arial"/>
        </w:rPr>
        <w:t xml:space="preserve">two outer years of the MTREF. </w:t>
      </w:r>
      <w:r w:rsidR="006067D3">
        <w:rPr>
          <w:rFonts w:ascii="Arial" w:hAnsi="Arial" w:cs="Arial"/>
        </w:rPr>
        <w:t xml:space="preserve">The municipality has also prioritised the filling of all vacant critical </w:t>
      </w:r>
      <w:r w:rsidR="00D964C3">
        <w:rPr>
          <w:rFonts w:ascii="Arial" w:hAnsi="Arial" w:cs="Arial"/>
        </w:rPr>
        <w:t>p</w:t>
      </w:r>
      <w:r w:rsidR="006067D3">
        <w:rPr>
          <w:rFonts w:ascii="Arial" w:hAnsi="Arial" w:cs="Arial"/>
        </w:rPr>
        <w:t xml:space="preserve">osts </w:t>
      </w:r>
      <w:r w:rsidR="00465BB6">
        <w:rPr>
          <w:rFonts w:ascii="Arial" w:hAnsi="Arial" w:cs="Arial"/>
        </w:rPr>
        <w:t xml:space="preserve">within </w:t>
      </w:r>
      <w:r w:rsidR="006706E5">
        <w:rPr>
          <w:rFonts w:ascii="Arial" w:hAnsi="Arial" w:cs="Arial"/>
        </w:rPr>
        <w:t>20</w:t>
      </w:r>
      <w:r w:rsidR="00AD6F0E">
        <w:rPr>
          <w:rFonts w:ascii="Arial" w:hAnsi="Arial" w:cs="Arial"/>
        </w:rPr>
        <w:t>20</w:t>
      </w:r>
      <w:r w:rsidR="006706E5">
        <w:rPr>
          <w:rFonts w:ascii="Arial" w:hAnsi="Arial" w:cs="Arial"/>
        </w:rPr>
        <w:t>/</w:t>
      </w:r>
      <w:r w:rsidR="00B5110F">
        <w:rPr>
          <w:rFonts w:ascii="Arial" w:hAnsi="Arial" w:cs="Arial"/>
        </w:rPr>
        <w:t>2</w:t>
      </w:r>
      <w:r w:rsidR="00AD6F0E">
        <w:rPr>
          <w:rFonts w:ascii="Arial" w:hAnsi="Arial" w:cs="Arial"/>
        </w:rPr>
        <w:t>1</w:t>
      </w:r>
      <w:r w:rsidR="006067D3">
        <w:rPr>
          <w:rFonts w:ascii="Arial" w:hAnsi="Arial" w:cs="Arial"/>
        </w:rPr>
        <w:t xml:space="preserve"> financial year</w:t>
      </w:r>
      <w:r w:rsidR="00920DCF">
        <w:rPr>
          <w:rFonts w:ascii="Arial" w:hAnsi="Arial" w:cs="Arial"/>
        </w:rPr>
        <w:t>.</w:t>
      </w:r>
    </w:p>
    <w:p w:rsidR="00C71FE4" w:rsidRDefault="00C71FE4" w:rsidP="00387B6B">
      <w:pPr>
        <w:spacing w:after="0" w:line="360" w:lineRule="auto"/>
        <w:jc w:val="both"/>
        <w:rPr>
          <w:rFonts w:ascii="Arial" w:hAnsi="Arial" w:cs="Arial"/>
        </w:rPr>
      </w:pPr>
    </w:p>
    <w:p w:rsidR="00D87635" w:rsidRDefault="00D87635" w:rsidP="00387B6B">
      <w:pPr>
        <w:spacing w:after="0" w:line="360" w:lineRule="auto"/>
        <w:jc w:val="both"/>
        <w:rPr>
          <w:rFonts w:ascii="Arial" w:hAnsi="Arial" w:cs="Arial"/>
        </w:rPr>
      </w:pPr>
      <w:r w:rsidRPr="00D87635">
        <w:rPr>
          <w:rFonts w:ascii="Arial" w:hAnsi="Arial" w:cs="Arial"/>
        </w:rPr>
        <w:t xml:space="preserve">The cost associated with the remuneration of councillors is determined </w:t>
      </w:r>
      <w:r w:rsidR="00A61550">
        <w:rPr>
          <w:rFonts w:ascii="Arial" w:hAnsi="Arial" w:cs="Arial"/>
        </w:rPr>
        <w:t>by the Minister of Co</w:t>
      </w:r>
      <w:r w:rsidR="000428D0">
        <w:rPr>
          <w:rFonts w:ascii="Arial" w:hAnsi="Arial" w:cs="Arial"/>
        </w:rPr>
        <w:t>-</w:t>
      </w:r>
      <w:r w:rsidR="00A61550">
        <w:rPr>
          <w:rFonts w:ascii="Arial" w:hAnsi="Arial" w:cs="Arial"/>
        </w:rPr>
        <w:t xml:space="preserve">operative Governance and Traditional Affairs in accordance with the </w:t>
      </w:r>
      <w:r w:rsidRPr="00D87635">
        <w:rPr>
          <w:rFonts w:ascii="Arial" w:hAnsi="Arial" w:cs="Arial"/>
        </w:rPr>
        <w:t>Remuneration of Public Office Bearers Act, 1998 (Act 20 of 1998).</w:t>
      </w:r>
      <w:r w:rsidR="00A61550">
        <w:rPr>
          <w:rFonts w:ascii="Arial" w:hAnsi="Arial" w:cs="Arial"/>
        </w:rPr>
        <w:t xml:space="preserve"> </w:t>
      </w:r>
      <w:r w:rsidR="000428D0">
        <w:rPr>
          <w:rFonts w:ascii="Arial" w:hAnsi="Arial" w:cs="Arial"/>
        </w:rPr>
        <w:t xml:space="preserve"> </w:t>
      </w:r>
      <w:r w:rsidR="00A61550">
        <w:rPr>
          <w:rFonts w:ascii="Arial" w:hAnsi="Arial" w:cs="Arial"/>
        </w:rPr>
        <w:t>The most recent proclamation in this regard has been taken into account in compiling the</w:t>
      </w:r>
      <w:r w:rsidR="001648BE">
        <w:rPr>
          <w:rFonts w:ascii="Arial" w:hAnsi="Arial" w:cs="Arial"/>
        </w:rPr>
        <w:t xml:space="preserve"> draft </w:t>
      </w:r>
      <w:r w:rsidR="00A61550">
        <w:rPr>
          <w:rFonts w:ascii="Arial" w:hAnsi="Arial" w:cs="Arial"/>
        </w:rPr>
        <w:t>budget.</w:t>
      </w:r>
    </w:p>
    <w:p w:rsidR="00581CBA" w:rsidRDefault="00581CBA" w:rsidP="00387B6B">
      <w:pPr>
        <w:spacing w:after="0" w:line="360" w:lineRule="auto"/>
        <w:jc w:val="both"/>
        <w:rPr>
          <w:rFonts w:ascii="Arial" w:hAnsi="Arial" w:cs="Arial"/>
        </w:rPr>
      </w:pPr>
    </w:p>
    <w:p w:rsidR="00AC7AB8" w:rsidRDefault="00AC7AB8" w:rsidP="00387B6B">
      <w:pPr>
        <w:spacing w:after="0" w:line="360" w:lineRule="auto"/>
        <w:jc w:val="both"/>
        <w:rPr>
          <w:rFonts w:ascii="Arial" w:hAnsi="Arial" w:cs="Arial"/>
        </w:rPr>
      </w:pPr>
      <w:r>
        <w:rPr>
          <w:rFonts w:ascii="Arial" w:hAnsi="Arial" w:cs="Arial"/>
        </w:rPr>
        <w:t xml:space="preserve">Provision for depreciation and asset impairment has been informed by the </w:t>
      </w:r>
      <w:r w:rsidR="00C71FE4">
        <w:rPr>
          <w:rFonts w:ascii="Arial" w:hAnsi="Arial" w:cs="Arial"/>
        </w:rPr>
        <w:t>m</w:t>
      </w:r>
      <w:r>
        <w:rPr>
          <w:rFonts w:ascii="Arial" w:hAnsi="Arial" w:cs="Arial"/>
        </w:rPr>
        <w:t>unicipality’s Asset Management Policy</w:t>
      </w:r>
      <w:r w:rsidR="007D0CBE">
        <w:rPr>
          <w:rFonts w:ascii="Arial" w:hAnsi="Arial" w:cs="Arial"/>
        </w:rPr>
        <w:t xml:space="preserve"> and the recent audited </w:t>
      </w:r>
      <w:r w:rsidR="00AD6F0E">
        <w:rPr>
          <w:rFonts w:ascii="Arial" w:hAnsi="Arial" w:cs="Arial"/>
        </w:rPr>
        <w:t xml:space="preserve">annual </w:t>
      </w:r>
      <w:r w:rsidR="007D0CBE">
        <w:rPr>
          <w:rFonts w:ascii="Arial" w:hAnsi="Arial" w:cs="Arial"/>
        </w:rPr>
        <w:t>financial statements</w:t>
      </w:r>
      <w:r>
        <w:rPr>
          <w:rFonts w:ascii="Arial" w:hAnsi="Arial" w:cs="Arial"/>
        </w:rPr>
        <w:t>.</w:t>
      </w:r>
      <w:r w:rsidR="00920DCF">
        <w:rPr>
          <w:rFonts w:ascii="Arial" w:hAnsi="Arial" w:cs="Arial"/>
        </w:rPr>
        <w:t xml:space="preserve"> </w:t>
      </w:r>
      <w:r>
        <w:rPr>
          <w:rFonts w:ascii="Arial" w:hAnsi="Arial" w:cs="Arial"/>
        </w:rPr>
        <w:t xml:space="preserve">Depreciation is widely considered a proxy for the measurement of the rate </w:t>
      </w:r>
      <w:r w:rsidR="00920DCF">
        <w:rPr>
          <w:rFonts w:ascii="Arial" w:hAnsi="Arial" w:cs="Arial"/>
        </w:rPr>
        <w:t xml:space="preserve">of </w:t>
      </w:r>
      <w:r>
        <w:rPr>
          <w:rFonts w:ascii="Arial" w:hAnsi="Arial" w:cs="Arial"/>
        </w:rPr>
        <w:t xml:space="preserve">asset consumption. </w:t>
      </w:r>
      <w:r w:rsidR="000428D0">
        <w:rPr>
          <w:rFonts w:ascii="Arial" w:hAnsi="Arial" w:cs="Arial"/>
        </w:rPr>
        <w:t xml:space="preserve"> </w:t>
      </w:r>
      <w:r>
        <w:rPr>
          <w:rFonts w:ascii="Arial" w:hAnsi="Arial" w:cs="Arial"/>
        </w:rPr>
        <w:t>Budget appropriations in this regard total R</w:t>
      </w:r>
      <w:r w:rsidR="00920DCF">
        <w:rPr>
          <w:rFonts w:ascii="Arial" w:hAnsi="Arial" w:cs="Arial"/>
        </w:rPr>
        <w:t xml:space="preserve"> </w:t>
      </w:r>
      <w:r w:rsidR="00144A9C" w:rsidRPr="00312346">
        <w:rPr>
          <w:rFonts w:ascii="Arial" w:hAnsi="Arial" w:cs="Arial"/>
        </w:rPr>
        <w:t>1</w:t>
      </w:r>
      <w:r w:rsidR="00E47819">
        <w:rPr>
          <w:rFonts w:ascii="Arial" w:hAnsi="Arial" w:cs="Arial"/>
        </w:rPr>
        <w:t>28</w:t>
      </w:r>
      <w:r>
        <w:rPr>
          <w:rFonts w:ascii="Arial" w:hAnsi="Arial" w:cs="Arial"/>
        </w:rPr>
        <w:t xml:space="preserve"> million for the </w:t>
      </w:r>
      <w:r w:rsidR="006706E5">
        <w:rPr>
          <w:rFonts w:ascii="Arial" w:hAnsi="Arial" w:cs="Arial"/>
        </w:rPr>
        <w:t>20</w:t>
      </w:r>
      <w:r w:rsidR="00AD6F0E">
        <w:rPr>
          <w:rFonts w:ascii="Arial" w:hAnsi="Arial" w:cs="Arial"/>
        </w:rPr>
        <w:t>20</w:t>
      </w:r>
      <w:r w:rsidR="006706E5">
        <w:rPr>
          <w:rFonts w:ascii="Arial" w:hAnsi="Arial" w:cs="Arial"/>
        </w:rPr>
        <w:t>/</w:t>
      </w:r>
      <w:r w:rsidR="00B5110F">
        <w:rPr>
          <w:rFonts w:ascii="Arial" w:hAnsi="Arial" w:cs="Arial"/>
        </w:rPr>
        <w:t>2</w:t>
      </w:r>
      <w:r w:rsidR="00AD6F0E">
        <w:rPr>
          <w:rFonts w:ascii="Arial" w:hAnsi="Arial" w:cs="Arial"/>
        </w:rPr>
        <w:t>1</w:t>
      </w:r>
      <w:r>
        <w:rPr>
          <w:rFonts w:ascii="Arial" w:hAnsi="Arial" w:cs="Arial"/>
        </w:rPr>
        <w:t xml:space="preserve"> financial</w:t>
      </w:r>
      <w:r w:rsidR="00B5110F">
        <w:rPr>
          <w:rFonts w:ascii="Arial" w:hAnsi="Arial" w:cs="Arial"/>
        </w:rPr>
        <w:t xml:space="preserve"> year</w:t>
      </w:r>
      <w:r>
        <w:rPr>
          <w:rFonts w:ascii="Arial" w:hAnsi="Arial" w:cs="Arial"/>
        </w:rPr>
        <w:t xml:space="preserve"> and equates to </w:t>
      </w:r>
      <w:r w:rsidR="00C30191" w:rsidRPr="00312346">
        <w:rPr>
          <w:rFonts w:ascii="Arial" w:hAnsi="Arial" w:cs="Arial"/>
        </w:rPr>
        <w:t>1</w:t>
      </w:r>
      <w:r w:rsidR="00E47819">
        <w:rPr>
          <w:rFonts w:ascii="Arial" w:hAnsi="Arial" w:cs="Arial"/>
        </w:rPr>
        <w:t>2</w:t>
      </w:r>
      <w:r w:rsidR="00312346" w:rsidRPr="00312346">
        <w:rPr>
          <w:rFonts w:ascii="Arial" w:hAnsi="Arial" w:cs="Arial"/>
        </w:rPr>
        <w:t>.</w:t>
      </w:r>
      <w:r w:rsidR="00E47819">
        <w:rPr>
          <w:rFonts w:ascii="Arial" w:hAnsi="Arial" w:cs="Arial"/>
        </w:rPr>
        <w:t>3</w:t>
      </w:r>
      <w:r w:rsidR="001648BE">
        <w:rPr>
          <w:rFonts w:ascii="Arial" w:hAnsi="Arial" w:cs="Arial"/>
        </w:rPr>
        <w:t xml:space="preserve"> %</w:t>
      </w:r>
      <w:r>
        <w:rPr>
          <w:rFonts w:ascii="Arial" w:hAnsi="Arial" w:cs="Arial"/>
        </w:rPr>
        <w:t xml:space="preserve"> of the total operating expenditure.</w:t>
      </w:r>
      <w:r w:rsidR="00A61550">
        <w:rPr>
          <w:rFonts w:ascii="Arial" w:hAnsi="Arial" w:cs="Arial"/>
        </w:rPr>
        <w:t xml:space="preserve"> </w:t>
      </w:r>
      <w:r w:rsidR="000428D0">
        <w:rPr>
          <w:rFonts w:ascii="Arial" w:hAnsi="Arial" w:cs="Arial"/>
        </w:rPr>
        <w:t xml:space="preserve"> </w:t>
      </w:r>
    </w:p>
    <w:p w:rsidR="00B926E5" w:rsidRDefault="00B926E5" w:rsidP="00387B6B">
      <w:pPr>
        <w:spacing w:after="0" w:line="360" w:lineRule="auto"/>
        <w:jc w:val="both"/>
        <w:rPr>
          <w:rFonts w:ascii="Arial" w:hAnsi="Arial" w:cs="Arial"/>
        </w:rPr>
      </w:pPr>
      <w:r>
        <w:rPr>
          <w:rFonts w:ascii="Arial" w:hAnsi="Arial" w:cs="Arial"/>
        </w:rPr>
        <w:t xml:space="preserve">Bulk purchases </w:t>
      </w:r>
      <w:r w:rsidR="00695063">
        <w:rPr>
          <w:rFonts w:ascii="Arial" w:hAnsi="Arial" w:cs="Arial"/>
        </w:rPr>
        <w:t>are</w:t>
      </w:r>
      <w:r>
        <w:rPr>
          <w:rFonts w:ascii="Arial" w:hAnsi="Arial" w:cs="Arial"/>
        </w:rPr>
        <w:t xml:space="preserve"> directly informed by the purchase of </w:t>
      </w:r>
      <w:r w:rsidR="00EF00F7">
        <w:rPr>
          <w:rFonts w:ascii="Arial" w:hAnsi="Arial" w:cs="Arial"/>
        </w:rPr>
        <w:t>water</w:t>
      </w:r>
      <w:r>
        <w:rPr>
          <w:rFonts w:ascii="Arial" w:hAnsi="Arial" w:cs="Arial"/>
        </w:rPr>
        <w:t xml:space="preserve"> from </w:t>
      </w:r>
      <w:r w:rsidR="00EF00F7">
        <w:rPr>
          <w:rFonts w:ascii="Arial" w:hAnsi="Arial" w:cs="Arial"/>
        </w:rPr>
        <w:t xml:space="preserve">Department of Water </w:t>
      </w:r>
      <w:r w:rsidR="00994EAD">
        <w:rPr>
          <w:rFonts w:ascii="Arial" w:hAnsi="Arial" w:cs="Arial"/>
        </w:rPr>
        <w:t>and Sanitation</w:t>
      </w:r>
      <w:r>
        <w:rPr>
          <w:rFonts w:ascii="Arial" w:hAnsi="Arial" w:cs="Arial"/>
        </w:rPr>
        <w:t xml:space="preserve">. </w:t>
      </w:r>
      <w:r w:rsidR="00695063">
        <w:rPr>
          <w:rFonts w:ascii="Arial" w:hAnsi="Arial" w:cs="Arial"/>
        </w:rPr>
        <w:t xml:space="preserve"> </w:t>
      </w:r>
      <w:r>
        <w:rPr>
          <w:rFonts w:ascii="Arial" w:hAnsi="Arial" w:cs="Arial"/>
        </w:rPr>
        <w:t>The annual price increases have been factored into the budget appropriations and directl</w:t>
      </w:r>
      <w:r w:rsidR="00BC54DE">
        <w:rPr>
          <w:rFonts w:ascii="Arial" w:hAnsi="Arial" w:cs="Arial"/>
        </w:rPr>
        <w:t xml:space="preserve">y inform the </w:t>
      </w:r>
      <w:r w:rsidR="00465BB6">
        <w:rPr>
          <w:rFonts w:ascii="Arial" w:hAnsi="Arial" w:cs="Arial"/>
        </w:rPr>
        <w:t>expenditure</w:t>
      </w:r>
      <w:r w:rsidR="00BC54DE">
        <w:rPr>
          <w:rFonts w:ascii="Arial" w:hAnsi="Arial" w:cs="Arial"/>
        </w:rPr>
        <w:t xml:space="preserve"> provisions</w:t>
      </w:r>
      <w:r w:rsidR="00994EAD">
        <w:rPr>
          <w:rFonts w:ascii="Arial" w:hAnsi="Arial" w:cs="Arial"/>
        </w:rPr>
        <w:t xml:space="preserve"> in line with current year expenditure and previous year audit outcomes</w:t>
      </w:r>
      <w:r w:rsidR="00FC1EF5">
        <w:rPr>
          <w:rFonts w:ascii="Arial" w:hAnsi="Arial" w:cs="Arial"/>
        </w:rPr>
        <w:t xml:space="preserve">. </w:t>
      </w:r>
      <w:r w:rsidR="00695063">
        <w:rPr>
          <w:rFonts w:ascii="Arial" w:hAnsi="Arial" w:cs="Arial"/>
        </w:rPr>
        <w:t xml:space="preserve"> </w:t>
      </w:r>
      <w:r w:rsidR="00EF00F7">
        <w:rPr>
          <w:rFonts w:ascii="Arial" w:hAnsi="Arial" w:cs="Arial"/>
        </w:rPr>
        <w:t xml:space="preserve">Bulk purchases constitute </w:t>
      </w:r>
      <w:r w:rsidR="00AD6F0E">
        <w:rPr>
          <w:rFonts w:ascii="Arial" w:hAnsi="Arial" w:cs="Arial"/>
        </w:rPr>
        <w:t>1</w:t>
      </w:r>
      <w:r w:rsidR="00312346" w:rsidRPr="00312346">
        <w:rPr>
          <w:rFonts w:ascii="Arial" w:hAnsi="Arial" w:cs="Arial"/>
        </w:rPr>
        <w:t>.</w:t>
      </w:r>
      <w:r w:rsidR="00E47819">
        <w:rPr>
          <w:rFonts w:ascii="Arial" w:hAnsi="Arial" w:cs="Arial"/>
        </w:rPr>
        <w:t>7</w:t>
      </w:r>
      <w:r w:rsidR="00312346">
        <w:rPr>
          <w:rFonts w:ascii="Arial" w:hAnsi="Arial" w:cs="Arial"/>
          <w:color w:val="FF0000"/>
        </w:rPr>
        <w:t xml:space="preserve"> </w:t>
      </w:r>
      <w:r w:rsidR="00C27EC3" w:rsidRPr="00C27EC3">
        <w:rPr>
          <w:rFonts w:ascii="Arial" w:hAnsi="Arial" w:cs="Arial"/>
        </w:rPr>
        <w:t>%</w:t>
      </w:r>
      <w:r w:rsidR="00EF00F7">
        <w:rPr>
          <w:rFonts w:ascii="Arial" w:hAnsi="Arial" w:cs="Arial"/>
        </w:rPr>
        <w:t xml:space="preserve"> of the total operating expenditure. The municipality needs to implement a comprehensive activity based costing in the relationship between water purchases and the corresponding revenue receivable from the services rendered.</w:t>
      </w:r>
    </w:p>
    <w:p w:rsidR="00B926E5" w:rsidRDefault="00B926E5" w:rsidP="00387B6B">
      <w:pPr>
        <w:spacing w:after="0" w:line="360" w:lineRule="auto"/>
        <w:jc w:val="both"/>
        <w:rPr>
          <w:rFonts w:ascii="Arial" w:hAnsi="Arial" w:cs="Arial"/>
        </w:rPr>
      </w:pPr>
    </w:p>
    <w:p w:rsidR="002000D2" w:rsidRDefault="00221A2A" w:rsidP="00387B6B">
      <w:pPr>
        <w:spacing w:after="0" w:line="360" w:lineRule="auto"/>
        <w:jc w:val="both"/>
        <w:rPr>
          <w:rFonts w:ascii="Arial" w:hAnsi="Arial" w:cs="Arial"/>
        </w:rPr>
      </w:pPr>
      <w:r w:rsidRPr="00221A2A">
        <w:rPr>
          <w:rFonts w:ascii="Arial" w:hAnsi="Arial" w:cs="Arial"/>
        </w:rPr>
        <w:t xml:space="preserve">The </w:t>
      </w:r>
      <w:r>
        <w:rPr>
          <w:rFonts w:ascii="Arial" w:hAnsi="Arial" w:cs="Arial"/>
        </w:rPr>
        <w:t>m</w:t>
      </w:r>
      <w:r w:rsidR="00F552C3" w:rsidRPr="00C27EC3">
        <w:rPr>
          <w:rFonts w:ascii="Arial" w:hAnsi="Arial" w:cs="Arial"/>
        </w:rPr>
        <w:t>unicipality</w:t>
      </w:r>
      <w:r w:rsidR="00F552C3">
        <w:rPr>
          <w:rFonts w:ascii="Arial" w:hAnsi="Arial" w:cs="Arial"/>
        </w:rPr>
        <w:t xml:space="preserve"> is currently constrained with capacity and skills issues in various departments hence the use of service providers to enhance business process flows. The municipality will be engaging on a revenue </w:t>
      </w:r>
      <w:r w:rsidR="00597925">
        <w:rPr>
          <w:rFonts w:ascii="Arial" w:hAnsi="Arial" w:cs="Arial"/>
        </w:rPr>
        <w:t>enhancement strategy</w:t>
      </w:r>
      <w:r w:rsidR="00C27EC3">
        <w:rPr>
          <w:rFonts w:ascii="Arial" w:hAnsi="Arial" w:cs="Arial"/>
        </w:rPr>
        <w:t>,</w:t>
      </w:r>
      <w:r w:rsidR="00465BB6">
        <w:rPr>
          <w:rFonts w:ascii="Arial" w:hAnsi="Arial" w:cs="Arial"/>
        </w:rPr>
        <w:t xml:space="preserve"> shared internal audit, security services</w:t>
      </w:r>
      <w:r w:rsidR="00597925">
        <w:rPr>
          <w:rFonts w:ascii="Arial" w:hAnsi="Arial" w:cs="Arial"/>
        </w:rPr>
        <w:t xml:space="preserve"> and </w:t>
      </w:r>
      <w:r w:rsidR="00EF4644">
        <w:rPr>
          <w:rFonts w:ascii="Arial" w:hAnsi="Arial" w:cs="Arial"/>
        </w:rPr>
        <w:t>s</w:t>
      </w:r>
      <w:r w:rsidR="00597925">
        <w:rPr>
          <w:rFonts w:ascii="Arial" w:hAnsi="Arial" w:cs="Arial"/>
        </w:rPr>
        <w:t>upport for the preparation of the annual financial statements</w:t>
      </w:r>
      <w:r w:rsidR="00F552C3">
        <w:rPr>
          <w:rFonts w:ascii="Arial" w:hAnsi="Arial" w:cs="Arial"/>
        </w:rPr>
        <w:t xml:space="preserve"> hence the use of consultants to assist with the </w:t>
      </w:r>
      <w:r w:rsidR="00597925">
        <w:rPr>
          <w:rFonts w:ascii="Arial" w:hAnsi="Arial" w:cs="Arial"/>
        </w:rPr>
        <w:t>processes</w:t>
      </w:r>
      <w:r w:rsidR="00F552C3">
        <w:rPr>
          <w:rFonts w:ascii="Arial" w:hAnsi="Arial" w:cs="Arial"/>
        </w:rPr>
        <w:t>. In</w:t>
      </w:r>
      <w:r w:rsidR="002000D2">
        <w:rPr>
          <w:rFonts w:ascii="Arial" w:hAnsi="Arial" w:cs="Arial"/>
        </w:rPr>
        <w:t xml:space="preserve"> </w:t>
      </w:r>
      <w:r w:rsidR="006706E5">
        <w:rPr>
          <w:rFonts w:ascii="Arial" w:hAnsi="Arial" w:cs="Arial"/>
        </w:rPr>
        <w:t>20</w:t>
      </w:r>
      <w:r w:rsidR="00287E81">
        <w:rPr>
          <w:rFonts w:ascii="Arial" w:hAnsi="Arial" w:cs="Arial"/>
        </w:rPr>
        <w:t>20</w:t>
      </w:r>
      <w:r w:rsidR="006706E5">
        <w:rPr>
          <w:rFonts w:ascii="Arial" w:hAnsi="Arial" w:cs="Arial"/>
        </w:rPr>
        <w:t>/</w:t>
      </w:r>
      <w:r w:rsidR="00B5110F">
        <w:rPr>
          <w:rFonts w:ascii="Arial" w:hAnsi="Arial" w:cs="Arial"/>
        </w:rPr>
        <w:t>2</w:t>
      </w:r>
      <w:r w:rsidR="00287E81">
        <w:rPr>
          <w:rFonts w:ascii="Arial" w:hAnsi="Arial" w:cs="Arial"/>
        </w:rPr>
        <w:t>1</w:t>
      </w:r>
      <w:r w:rsidR="002000D2">
        <w:rPr>
          <w:rFonts w:ascii="Arial" w:hAnsi="Arial" w:cs="Arial"/>
        </w:rPr>
        <w:t xml:space="preserve"> financial year, this </w:t>
      </w:r>
      <w:r w:rsidR="00841A5F">
        <w:rPr>
          <w:rFonts w:ascii="Arial" w:hAnsi="Arial" w:cs="Arial"/>
        </w:rPr>
        <w:t>combined</w:t>
      </w:r>
      <w:r w:rsidR="002000D2">
        <w:rPr>
          <w:rFonts w:ascii="Arial" w:hAnsi="Arial" w:cs="Arial"/>
        </w:rPr>
        <w:t xml:space="preserve"> expenditure totals R</w:t>
      </w:r>
      <w:r w:rsidR="00156D88">
        <w:rPr>
          <w:rFonts w:ascii="Arial" w:hAnsi="Arial" w:cs="Arial"/>
        </w:rPr>
        <w:t xml:space="preserve"> </w:t>
      </w:r>
      <w:r w:rsidR="00351C0B">
        <w:rPr>
          <w:rFonts w:ascii="Arial" w:hAnsi="Arial" w:cs="Arial"/>
        </w:rPr>
        <w:t>51.1</w:t>
      </w:r>
      <w:r w:rsidR="002000D2" w:rsidRPr="00287E81">
        <w:rPr>
          <w:rFonts w:ascii="Arial" w:hAnsi="Arial" w:cs="Arial"/>
          <w:color w:val="FF0000"/>
        </w:rPr>
        <w:t xml:space="preserve"> </w:t>
      </w:r>
      <w:r w:rsidR="00F552C3">
        <w:rPr>
          <w:rFonts w:ascii="Arial" w:hAnsi="Arial" w:cs="Arial"/>
        </w:rPr>
        <w:t>m</w:t>
      </w:r>
      <w:r w:rsidR="002000D2">
        <w:rPr>
          <w:rFonts w:ascii="Arial" w:hAnsi="Arial" w:cs="Arial"/>
        </w:rPr>
        <w:t xml:space="preserve">illion and has </w:t>
      </w:r>
      <w:r w:rsidR="0062338C">
        <w:rPr>
          <w:rFonts w:ascii="Arial" w:hAnsi="Arial" w:cs="Arial"/>
        </w:rPr>
        <w:t xml:space="preserve">decreased by </w:t>
      </w:r>
      <w:r w:rsidR="00351C0B">
        <w:rPr>
          <w:rFonts w:ascii="Arial" w:hAnsi="Arial" w:cs="Arial"/>
        </w:rPr>
        <w:t>0.7</w:t>
      </w:r>
      <w:r w:rsidR="00E053AB" w:rsidRPr="00287E81">
        <w:rPr>
          <w:rFonts w:ascii="Arial" w:hAnsi="Arial" w:cs="Arial"/>
          <w:color w:val="FF0000"/>
        </w:rPr>
        <w:t xml:space="preserve"> </w:t>
      </w:r>
      <w:r w:rsidR="0062338C">
        <w:rPr>
          <w:rFonts w:ascii="Arial" w:hAnsi="Arial" w:cs="Arial"/>
        </w:rPr>
        <w:t xml:space="preserve">% compared to the </w:t>
      </w:r>
      <w:r w:rsidR="002C7ECF">
        <w:rPr>
          <w:rFonts w:ascii="Arial" w:hAnsi="Arial" w:cs="Arial"/>
        </w:rPr>
        <w:t>second</w:t>
      </w:r>
      <w:r w:rsidR="00287E81">
        <w:rPr>
          <w:rFonts w:ascii="Arial" w:hAnsi="Arial" w:cs="Arial"/>
        </w:rPr>
        <w:t xml:space="preserve"> </w:t>
      </w:r>
      <w:r w:rsidR="0062338C">
        <w:rPr>
          <w:rFonts w:ascii="Arial" w:hAnsi="Arial" w:cs="Arial"/>
        </w:rPr>
        <w:t>adjustment budget.</w:t>
      </w:r>
      <w:r w:rsidR="00FC1EF5" w:rsidRPr="00F94185">
        <w:rPr>
          <w:rFonts w:ascii="Arial" w:hAnsi="Arial" w:cs="Arial"/>
        </w:rPr>
        <w:t xml:space="preserve"> </w:t>
      </w:r>
      <w:r w:rsidR="002000D2" w:rsidRPr="00F94185">
        <w:rPr>
          <w:rFonts w:ascii="Arial" w:hAnsi="Arial" w:cs="Arial"/>
        </w:rPr>
        <w:t xml:space="preserve">As part of the process of identifying further cost efficiencies, a business process reengineering project will commence in the </w:t>
      </w:r>
      <w:r w:rsidR="006706E5">
        <w:rPr>
          <w:rFonts w:ascii="Arial" w:hAnsi="Arial" w:cs="Arial"/>
        </w:rPr>
        <w:t>20</w:t>
      </w:r>
      <w:r w:rsidR="00287E81">
        <w:rPr>
          <w:rFonts w:ascii="Arial" w:hAnsi="Arial" w:cs="Arial"/>
        </w:rPr>
        <w:t>20</w:t>
      </w:r>
      <w:r w:rsidR="006706E5">
        <w:rPr>
          <w:rFonts w:ascii="Arial" w:hAnsi="Arial" w:cs="Arial"/>
        </w:rPr>
        <w:t>/</w:t>
      </w:r>
      <w:r w:rsidR="00B5110F">
        <w:rPr>
          <w:rFonts w:ascii="Arial" w:hAnsi="Arial" w:cs="Arial"/>
        </w:rPr>
        <w:t>2</w:t>
      </w:r>
      <w:r w:rsidR="00287E81">
        <w:rPr>
          <w:rFonts w:ascii="Arial" w:hAnsi="Arial" w:cs="Arial"/>
        </w:rPr>
        <w:t>1</w:t>
      </w:r>
      <w:r w:rsidR="002000D2" w:rsidRPr="00F94185">
        <w:rPr>
          <w:rFonts w:ascii="Arial" w:hAnsi="Arial" w:cs="Arial"/>
        </w:rPr>
        <w:t xml:space="preserve"> financial year to identify alternative practices and procedures</w:t>
      </w:r>
      <w:r w:rsidR="00FC1EF5" w:rsidRPr="00F94185">
        <w:rPr>
          <w:rFonts w:ascii="Arial" w:hAnsi="Arial" w:cs="Arial"/>
        </w:rPr>
        <w:t xml:space="preserve">, including building in-house capacity for certain activities that are currently being contracted out. </w:t>
      </w:r>
      <w:r w:rsidR="002000D2" w:rsidRPr="00F94185">
        <w:rPr>
          <w:rFonts w:ascii="Arial" w:hAnsi="Arial" w:cs="Arial"/>
        </w:rPr>
        <w:t xml:space="preserve"> </w:t>
      </w:r>
    </w:p>
    <w:p w:rsidR="009E3EC7" w:rsidRPr="00F94185" w:rsidRDefault="009E3EC7" w:rsidP="00387B6B">
      <w:pPr>
        <w:spacing w:after="0" w:line="360" w:lineRule="auto"/>
        <w:jc w:val="both"/>
        <w:rPr>
          <w:rFonts w:ascii="Arial" w:hAnsi="Arial" w:cs="Arial"/>
        </w:rPr>
      </w:pPr>
    </w:p>
    <w:p w:rsidR="00156D88" w:rsidRPr="002B331B" w:rsidRDefault="002000D2" w:rsidP="00387B6B">
      <w:pPr>
        <w:spacing w:after="0" w:line="360" w:lineRule="auto"/>
        <w:jc w:val="both"/>
        <w:rPr>
          <w:rFonts w:ascii="Arial" w:hAnsi="Arial" w:cs="Arial"/>
          <w:color w:val="000000" w:themeColor="text1"/>
        </w:rPr>
      </w:pPr>
      <w:r w:rsidRPr="002B331B">
        <w:rPr>
          <w:rFonts w:ascii="Arial" w:hAnsi="Arial" w:cs="Arial"/>
        </w:rPr>
        <w:t>Other expenditure</w:t>
      </w:r>
      <w:r w:rsidRPr="00F94185">
        <w:rPr>
          <w:rFonts w:ascii="Arial" w:hAnsi="Arial" w:cs="Arial"/>
        </w:rPr>
        <w:t xml:space="preserve"> comprises of various line items relating to</w:t>
      </w:r>
      <w:r w:rsidR="00CA426C" w:rsidRPr="00F94185">
        <w:rPr>
          <w:rFonts w:ascii="Arial" w:hAnsi="Arial" w:cs="Arial"/>
        </w:rPr>
        <w:t xml:space="preserve"> </w:t>
      </w:r>
      <w:r w:rsidRPr="00F94185">
        <w:rPr>
          <w:rFonts w:ascii="Arial" w:hAnsi="Arial" w:cs="Arial"/>
        </w:rPr>
        <w:t>daily operati</w:t>
      </w:r>
      <w:r w:rsidR="00CA426C" w:rsidRPr="00F94185">
        <w:rPr>
          <w:rFonts w:ascii="Arial" w:hAnsi="Arial" w:cs="Arial"/>
        </w:rPr>
        <w:t xml:space="preserve">ons </w:t>
      </w:r>
      <w:r w:rsidRPr="00F94185">
        <w:rPr>
          <w:rFonts w:ascii="Arial" w:hAnsi="Arial" w:cs="Arial"/>
        </w:rPr>
        <w:t xml:space="preserve">of the </w:t>
      </w:r>
      <w:r w:rsidR="00FC1EF5" w:rsidRPr="00F94185">
        <w:rPr>
          <w:rFonts w:ascii="Arial" w:hAnsi="Arial" w:cs="Arial"/>
        </w:rPr>
        <w:t>m</w:t>
      </w:r>
      <w:r w:rsidRPr="00F94185">
        <w:rPr>
          <w:rFonts w:ascii="Arial" w:hAnsi="Arial" w:cs="Arial"/>
        </w:rPr>
        <w:t>unicipality.</w:t>
      </w:r>
      <w:r w:rsidR="00695063" w:rsidRPr="00F94185">
        <w:rPr>
          <w:rFonts w:ascii="Arial" w:hAnsi="Arial" w:cs="Arial"/>
        </w:rPr>
        <w:t xml:space="preserve"> </w:t>
      </w:r>
      <w:r w:rsidRPr="00F94185">
        <w:rPr>
          <w:rFonts w:ascii="Arial" w:hAnsi="Arial" w:cs="Arial"/>
        </w:rPr>
        <w:t xml:space="preserve"> This </w:t>
      </w:r>
      <w:r w:rsidR="00841A5F">
        <w:rPr>
          <w:rFonts w:ascii="Arial" w:hAnsi="Arial" w:cs="Arial"/>
        </w:rPr>
        <w:t xml:space="preserve">combined </w:t>
      </w:r>
      <w:r w:rsidRPr="00F94185">
        <w:rPr>
          <w:rFonts w:ascii="Arial" w:hAnsi="Arial" w:cs="Arial"/>
        </w:rPr>
        <w:t>expenditure has also been identified as a</w:t>
      </w:r>
      <w:r w:rsidR="00CA426C" w:rsidRPr="00F94185">
        <w:rPr>
          <w:rFonts w:ascii="Arial" w:hAnsi="Arial" w:cs="Arial"/>
        </w:rPr>
        <w:t>n</w:t>
      </w:r>
      <w:r w:rsidRPr="00F94185">
        <w:rPr>
          <w:rFonts w:ascii="Arial" w:hAnsi="Arial" w:cs="Arial"/>
        </w:rPr>
        <w:t xml:space="preserve"> area in which cost savings and efficiencies can be achieved.</w:t>
      </w:r>
      <w:r w:rsidR="00695063" w:rsidRPr="00F94185">
        <w:rPr>
          <w:rFonts w:ascii="Arial" w:hAnsi="Arial" w:cs="Arial"/>
        </w:rPr>
        <w:t xml:space="preserve"> </w:t>
      </w:r>
      <w:r w:rsidRPr="00F94185">
        <w:rPr>
          <w:rFonts w:ascii="Arial" w:hAnsi="Arial" w:cs="Arial"/>
        </w:rPr>
        <w:t xml:space="preserve"> </w:t>
      </w:r>
      <w:r w:rsidR="008F3355">
        <w:rPr>
          <w:rFonts w:ascii="Arial" w:hAnsi="Arial" w:cs="Arial"/>
        </w:rPr>
        <w:t xml:space="preserve">Other expenditure has </w:t>
      </w:r>
      <w:r w:rsidR="008A6EBE">
        <w:rPr>
          <w:rFonts w:ascii="Arial" w:hAnsi="Arial" w:cs="Arial"/>
        </w:rPr>
        <w:t>de</w:t>
      </w:r>
      <w:r w:rsidR="001B614A">
        <w:rPr>
          <w:rFonts w:ascii="Arial" w:hAnsi="Arial" w:cs="Arial"/>
        </w:rPr>
        <w:t>crease</w:t>
      </w:r>
      <w:r w:rsidR="003B6A4C">
        <w:rPr>
          <w:rFonts w:ascii="Arial" w:hAnsi="Arial" w:cs="Arial"/>
        </w:rPr>
        <w:t xml:space="preserve">d </w:t>
      </w:r>
      <w:r w:rsidR="008F3355">
        <w:rPr>
          <w:rFonts w:ascii="Arial" w:hAnsi="Arial" w:cs="Arial"/>
        </w:rPr>
        <w:t>by</w:t>
      </w:r>
      <w:r w:rsidR="008E089B">
        <w:rPr>
          <w:rFonts w:ascii="Arial" w:hAnsi="Arial" w:cs="Arial"/>
        </w:rPr>
        <w:t xml:space="preserve"> </w:t>
      </w:r>
      <w:r w:rsidR="002B331B">
        <w:rPr>
          <w:rFonts w:ascii="Arial" w:hAnsi="Arial" w:cs="Arial"/>
        </w:rPr>
        <w:t>24</w:t>
      </w:r>
      <w:r w:rsidR="00156D88">
        <w:rPr>
          <w:rFonts w:ascii="Arial" w:hAnsi="Arial" w:cs="Arial"/>
        </w:rPr>
        <w:t xml:space="preserve"> </w:t>
      </w:r>
      <w:r w:rsidR="008E089B">
        <w:rPr>
          <w:rFonts w:ascii="Arial" w:hAnsi="Arial" w:cs="Arial"/>
        </w:rPr>
        <w:t>%</w:t>
      </w:r>
      <w:r w:rsidR="00CA426C" w:rsidRPr="00F94185">
        <w:rPr>
          <w:rFonts w:ascii="Arial" w:hAnsi="Arial" w:cs="Arial"/>
        </w:rPr>
        <w:t xml:space="preserve"> for </w:t>
      </w:r>
      <w:r w:rsidR="006706E5">
        <w:rPr>
          <w:rFonts w:ascii="Arial" w:hAnsi="Arial" w:cs="Arial"/>
        </w:rPr>
        <w:t>20</w:t>
      </w:r>
      <w:r w:rsidR="00D94492">
        <w:rPr>
          <w:rFonts w:ascii="Arial" w:hAnsi="Arial" w:cs="Arial"/>
        </w:rPr>
        <w:t>20</w:t>
      </w:r>
      <w:r w:rsidR="006706E5">
        <w:rPr>
          <w:rFonts w:ascii="Arial" w:hAnsi="Arial" w:cs="Arial"/>
        </w:rPr>
        <w:t>/</w:t>
      </w:r>
      <w:r w:rsidR="00A25E2B">
        <w:rPr>
          <w:rFonts w:ascii="Arial" w:hAnsi="Arial" w:cs="Arial"/>
        </w:rPr>
        <w:t>2</w:t>
      </w:r>
      <w:r w:rsidR="00D94492">
        <w:rPr>
          <w:rFonts w:ascii="Arial" w:hAnsi="Arial" w:cs="Arial"/>
        </w:rPr>
        <w:t>1</w:t>
      </w:r>
      <w:r w:rsidR="008F3355">
        <w:rPr>
          <w:rFonts w:ascii="Arial" w:hAnsi="Arial" w:cs="Arial"/>
        </w:rPr>
        <w:t xml:space="preserve"> </w:t>
      </w:r>
      <w:r w:rsidR="008E089B">
        <w:rPr>
          <w:rFonts w:ascii="Arial" w:hAnsi="Arial" w:cs="Arial"/>
        </w:rPr>
        <w:t>budget</w:t>
      </w:r>
      <w:r w:rsidR="008F3355">
        <w:rPr>
          <w:rFonts w:ascii="Arial" w:hAnsi="Arial" w:cs="Arial"/>
        </w:rPr>
        <w:t xml:space="preserve"> year</w:t>
      </w:r>
      <w:r w:rsidR="008E089B">
        <w:rPr>
          <w:rFonts w:ascii="Arial" w:hAnsi="Arial" w:cs="Arial"/>
        </w:rPr>
        <w:t xml:space="preserve">, when compared to the </w:t>
      </w:r>
      <w:r w:rsidR="00D94492">
        <w:rPr>
          <w:rFonts w:ascii="Arial" w:hAnsi="Arial" w:cs="Arial"/>
        </w:rPr>
        <w:t xml:space="preserve">second </w:t>
      </w:r>
      <w:r w:rsidR="008E089B">
        <w:rPr>
          <w:rFonts w:ascii="Arial" w:hAnsi="Arial" w:cs="Arial"/>
        </w:rPr>
        <w:t>adjustment budget</w:t>
      </w:r>
      <w:r w:rsidR="008F3355">
        <w:rPr>
          <w:rFonts w:ascii="Arial" w:hAnsi="Arial" w:cs="Arial"/>
        </w:rPr>
        <w:t xml:space="preserve">. </w:t>
      </w:r>
      <w:r w:rsidR="009E3EC7" w:rsidRPr="009E3EC7">
        <w:rPr>
          <w:rFonts w:ascii="Arial" w:hAnsi="Arial" w:cs="Arial"/>
        </w:rPr>
        <w:t>Also included in other expenditure are equitable share</w:t>
      </w:r>
      <w:r w:rsidR="00221A2A">
        <w:rPr>
          <w:rFonts w:ascii="Arial" w:hAnsi="Arial" w:cs="Arial"/>
        </w:rPr>
        <w:t xml:space="preserve"> funded IDP</w:t>
      </w:r>
      <w:r w:rsidR="009E3EC7" w:rsidRPr="009E3EC7">
        <w:rPr>
          <w:rFonts w:ascii="Arial" w:hAnsi="Arial" w:cs="Arial"/>
        </w:rPr>
        <w:t xml:space="preserve"> projects of vari</w:t>
      </w:r>
      <w:r w:rsidR="00CE026C">
        <w:rPr>
          <w:rFonts w:ascii="Arial" w:hAnsi="Arial" w:cs="Arial"/>
        </w:rPr>
        <w:t xml:space="preserve">ous departments to the value of </w:t>
      </w:r>
      <w:r w:rsidR="009E3EC7" w:rsidRPr="0008668F">
        <w:rPr>
          <w:rFonts w:ascii="Arial" w:hAnsi="Arial" w:cs="Arial"/>
        </w:rPr>
        <w:t>R</w:t>
      </w:r>
      <w:r w:rsidR="00156D88">
        <w:rPr>
          <w:rFonts w:ascii="Arial" w:hAnsi="Arial" w:cs="Arial"/>
        </w:rPr>
        <w:t xml:space="preserve"> </w:t>
      </w:r>
      <w:r w:rsidR="008A6EBE">
        <w:rPr>
          <w:rFonts w:ascii="Arial" w:hAnsi="Arial" w:cs="Arial"/>
        </w:rPr>
        <w:t>35</w:t>
      </w:r>
      <w:r w:rsidR="005E7946">
        <w:rPr>
          <w:rFonts w:ascii="Arial" w:hAnsi="Arial" w:cs="Arial"/>
        </w:rPr>
        <w:t>.</w:t>
      </w:r>
      <w:r w:rsidR="002B331B">
        <w:rPr>
          <w:rFonts w:ascii="Arial" w:hAnsi="Arial" w:cs="Arial"/>
        </w:rPr>
        <w:t>1</w:t>
      </w:r>
      <w:r w:rsidR="009E3EC7" w:rsidRPr="00A25E2B">
        <w:rPr>
          <w:rFonts w:ascii="Arial" w:hAnsi="Arial" w:cs="Arial"/>
          <w:color w:val="FF0000"/>
        </w:rPr>
        <w:t xml:space="preserve"> </w:t>
      </w:r>
      <w:r w:rsidR="009E3EC7" w:rsidRPr="0008668F">
        <w:rPr>
          <w:rFonts w:ascii="Arial" w:hAnsi="Arial" w:cs="Arial"/>
        </w:rPr>
        <w:t>million</w:t>
      </w:r>
      <w:r w:rsidR="00841A5F" w:rsidRPr="0008668F">
        <w:rPr>
          <w:rFonts w:ascii="Arial" w:hAnsi="Arial" w:cs="Arial"/>
        </w:rPr>
        <w:t xml:space="preserve"> that are </w:t>
      </w:r>
      <w:r w:rsidR="009E3EC7" w:rsidRPr="0008668F">
        <w:rPr>
          <w:rFonts w:ascii="Arial" w:hAnsi="Arial" w:cs="Arial"/>
        </w:rPr>
        <w:t>linked to the SDBIP</w:t>
      </w:r>
      <w:r w:rsidR="00CE026C" w:rsidRPr="0008668F">
        <w:rPr>
          <w:rFonts w:ascii="Arial" w:hAnsi="Arial" w:cs="Arial"/>
        </w:rPr>
        <w:t xml:space="preserve"> and repairs </w:t>
      </w:r>
      <w:r w:rsidR="00CE026C" w:rsidRPr="002B331B">
        <w:rPr>
          <w:rFonts w:ascii="Arial" w:hAnsi="Arial" w:cs="Arial"/>
          <w:color w:val="000000" w:themeColor="text1"/>
        </w:rPr>
        <w:t xml:space="preserve">and maintenance amounting to </w:t>
      </w:r>
      <w:r w:rsidR="00CE67BE" w:rsidRPr="002B331B">
        <w:rPr>
          <w:rFonts w:ascii="Arial" w:hAnsi="Arial" w:cs="Arial"/>
          <w:color w:val="000000" w:themeColor="text1"/>
        </w:rPr>
        <w:t>R</w:t>
      </w:r>
      <w:r w:rsidR="00156D88" w:rsidRPr="002B331B">
        <w:rPr>
          <w:rFonts w:ascii="Arial" w:hAnsi="Arial" w:cs="Arial"/>
          <w:color w:val="000000" w:themeColor="text1"/>
        </w:rPr>
        <w:t xml:space="preserve"> </w:t>
      </w:r>
      <w:r w:rsidR="002B331B" w:rsidRPr="002B331B">
        <w:rPr>
          <w:rFonts w:ascii="Arial" w:hAnsi="Arial" w:cs="Arial"/>
          <w:color w:val="000000" w:themeColor="text1"/>
        </w:rPr>
        <w:t>87</w:t>
      </w:r>
      <w:r w:rsidR="001E5B1F" w:rsidRPr="002B331B">
        <w:rPr>
          <w:rFonts w:ascii="Arial" w:hAnsi="Arial" w:cs="Arial"/>
          <w:color w:val="000000" w:themeColor="text1"/>
        </w:rPr>
        <w:t>.</w:t>
      </w:r>
      <w:r w:rsidR="002B331B" w:rsidRPr="002B331B">
        <w:rPr>
          <w:rFonts w:ascii="Arial" w:hAnsi="Arial" w:cs="Arial"/>
          <w:color w:val="000000" w:themeColor="text1"/>
        </w:rPr>
        <w:t>6</w:t>
      </w:r>
      <w:r w:rsidR="00CE67BE" w:rsidRPr="002B331B">
        <w:rPr>
          <w:rFonts w:ascii="Arial" w:hAnsi="Arial" w:cs="Arial"/>
          <w:color w:val="000000" w:themeColor="text1"/>
        </w:rPr>
        <w:t xml:space="preserve"> million</w:t>
      </w:r>
      <w:r w:rsidR="0008668F" w:rsidRPr="002B331B">
        <w:rPr>
          <w:rFonts w:ascii="Arial" w:hAnsi="Arial" w:cs="Arial"/>
          <w:color w:val="000000" w:themeColor="text1"/>
        </w:rPr>
        <w:t xml:space="preserve"> or </w:t>
      </w:r>
      <w:r w:rsidR="002B331B">
        <w:rPr>
          <w:rFonts w:ascii="Arial" w:hAnsi="Arial" w:cs="Arial"/>
          <w:color w:val="000000" w:themeColor="text1"/>
        </w:rPr>
        <w:t>8</w:t>
      </w:r>
      <w:r w:rsidR="00156D88" w:rsidRPr="002B331B">
        <w:rPr>
          <w:rFonts w:ascii="Arial" w:hAnsi="Arial" w:cs="Arial"/>
          <w:color w:val="000000" w:themeColor="text1"/>
        </w:rPr>
        <w:t xml:space="preserve"> </w:t>
      </w:r>
      <w:r w:rsidR="0008668F" w:rsidRPr="002B331B">
        <w:rPr>
          <w:rFonts w:ascii="Arial" w:hAnsi="Arial" w:cs="Arial"/>
          <w:color w:val="000000" w:themeColor="text1"/>
        </w:rPr>
        <w:t>% of the total operating budget</w:t>
      </w:r>
      <w:r w:rsidR="009E3EC7" w:rsidRPr="002B331B">
        <w:rPr>
          <w:rFonts w:ascii="Arial" w:hAnsi="Arial" w:cs="Arial"/>
          <w:color w:val="000000" w:themeColor="text1"/>
        </w:rPr>
        <w:t xml:space="preserve">. Other expenditure constitutes </w:t>
      </w:r>
      <w:r w:rsidR="00751320">
        <w:rPr>
          <w:rFonts w:ascii="Arial" w:hAnsi="Arial" w:cs="Arial"/>
          <w:color w:val="000000" w:themeColor="text1"/>
        </w:rPr>
        <w:t xml:space="preserve">10 </w:t>
      </w:r>
      <w:r w:rsidR="00841A5F" w:rsidRPr="002B331B">
        <w:rPr>
          <w:rFonts w:ascii="Arial" w:hAnsi="Arial" w:cs="Arial"/>
          <w:color w:val="000000" w:themeColor="text1"/>
        </w:rPr>
        <w:t xml:space="preserve">% </w:t>
      </w:r>
      <w:r w:rsidR="009E3EC7" w:rsidRPr="002B331B">
        <w:rPr>
          <w:rFonts w:ascii="Arial" w:hAnsi="Arial" w:cs="Arial"/>
          <w:color w:val="000000" w:themeColor="text1"/>
        </w:rPr>
        <w:t xml:space="preserve">of the total </w:t>
      </w:r>
      <w:r w:rsidR="00144A9C" w:rsidRPr="002B331B">
        <w:rPr>
          <w:rFonts w:ascii="Arial" w:hAnsi="Arial" w:cs="Arial"/>
          <w:color w:val="000000" w:themeColor="text1"/>
        </w:rPr>
        <w:t xml:space="preserve">operating </w:t>
      </w:r>
      <w:r w:rsidR="0057004D" w:rsidRPr="002B331B">
        <w:rPr>
          <w:rFonts w:ascii="Arial" w:hAnsi="Arial" w:cs="Arial"/>
          <w:color w:val="000000" w:themeColor="text1"/>
        </w:rPr>
        <w:t>expenditure</w:t>
      </w:r>
      <w:r w:rsidR="00156D88" w:rsidRPr="002B331B">
        <w:rPr>
          <w:rFonts w:ascii="Arial" w:hAnsi="Arial" w:cs="Arial"/>
          <w:color w:val="000000" w:themeColor="text1"/>
        </w:rPr>
        <w:t>.</w:t>
      </w:r>
    </w:p>
    <w:p w:rsidR="009E3EC7" w:rsidRDefault="00156D88" w:rsidP="00387B6B">
      <w:pPr>
        <w:spacing w:after="0" w:line="360" w:lineRule="auto"/>
        <w:jc w:val="both"/>
        <w:rPr>
          <w:rFonts w:ascii="Arial" w:hAnsi="Arial" w:cs="Arial"/>
        </w:rPr>
      </w:pPr>
      <w:r>
        <w:rPr>
          <w:rFonts w:ascii="Arial" w:hAnsi="Arial" w:cs="Arial"/>
        </w:rPr>
        <w:t xml:space="preserve"> </w:t>
      </w:r>
    </w:p>
    <w:p w:rsidR="00316B5D" w:rsidRDefault="00357386" w:rsidP="00387B6B">
      <w:pPr>
        <w:spacing w:after="0" w:line="360" w:lineRule="auto"/>
        <w:jc w:val="both"/>
        <w:rPr>
          <w:rFonts w:ascii="Arial" w:hAnsi="Arial" w:cs="Arial"/>
        </w:rPr>
      </w:pPr>
      <w:r>
        <w:rPr>
          <w:rFonts w:ascii="Arial" w:hAnsi="Arial" w:cs="Arial"/>
        </w:rPr>
        <w:t xml:space="preserve">The provision </w:t>
      </w:r>
      <w:r w:rsidR="00C7298A">
        <w:rPr>
          <w:rFonts w:ascii="Arial" w:hAnsi="Arial" w:cs="Arial"/>
        </w:rPr>
        <w:t>for</w:t>
      </w:r>
      <w:r>
        <w:rPr>
          <w:rFonts w:ascii="Arial" w:hAnsi="Arial" w:cs="Arial"/>
        </w:rPr>
        <w:t xml:space="preserve"> debt impairment </w:t>
      </w:r>
      <w:r w:rsidR="00841A5F">
        <w:rPr>
          <w:rFonts w:ascii="Arial" w:hAnsi="Arial" w:cs="Arial"/>
        </w:rPr>
        <w:t>is</w:t>
      </w:r>
      <w:r w:rsidR="00316B5D">
        <w:rPr>
          <w:rFonts w:ascii="Arial" w:hAnsi="Arial" w:cs="Arial"/>
        </w:rPr>
        <w:t xml:space="preserve"> budgeted for</w:t>
      </w:r>
      <w:r w:rsidR="00FD124B">
        <w:rPr>
          <w:rFonts w:ascii="Arial" w:hAnsi="Arial" w:cs="Arial"/>
        </w:rPr>
        <w:t xml:space="preserve"> </w:t>
      </w:r>
      <w:r w:rsidR="00A1794A">
        <w:rPr>
          <w:rFonts w:ascii="Arial" w:hAnsi="Arial" w:cs="Arial"/>
        </w:rPr>
        <w:t xml:space="preserve">at </w:t>
      </w:r>
      <w:r w:rsidR="00FD124B">
        <w:rPr>
          <w:rFonts w:ascii="Arial" w:hAnsi="Arial" w:cs="Arial"/>
        </w:rPr>
        <w:t>R</w:t>
      </w:r>
      <w:r w:rsidR="00144A9C">
        <w:rPr>
          <w:rFonts w:ascii="Arial" w:hAnsi="Arial" w:cs="Arial"/>
        </w:rPr>
        <w:t xml:space="preserve"> </w:t>
      </w:r>
      <w:r w:rsidR="00D94492">
        <w:rPr>
          <w:rFonts w:ascii="Arial" w:hAnsi="Arial" w:cs="Arial"/>
        </w:rPr>
        <w:t xml:space="preserve">129.7 </w:t>
      </w:r>
      <w:r w:rsidR="00FD124B">
        <w:rPr>
          <w:rFonts w:ascii="Arial" w:hAnsi="Arial" w:cs="Arial"/>
        </w:rPr>
        <w:t>million</w:t>
      </w:r>
      <w:r w:rsidR="00316B5D">
        <w:rPr>
          <w:rFonts w:ascii="Arial" w:hAnsi="Arial" w:cs="Arial"/>
        </w:rPr>
        <w:t xml:space="preserve"> in </w:t>
      </w:r>
      <w:r w:rsidR="006706E5">
        <w:rPr>
          <w:rFonts w:ascii="Arial" w:hAnsi="Arial" w:cs="Arial"/>
        </w:rPr>
        <w:t>20</w:t>
      </w:r>
      <w:r w:rsidR="00D94492">
        <w:rPr>
          <w:rFonts w:ascii="Arial" w:hAnsi="Arial" w:cs="Arial"/>
        </w:rPr>
        <w:t>20</w:t>
      </w:r>
      <w:r w:rsidR="006706E5">
        <w:rPr>
          <w:rFonts w:ascii="Arial" w:hAnsi="Arial" w:cs="Arial"/>
        </w:rPr>
        <w:t>/</w:t>
      </w:r>
      <w:r w:rsidR="00A25E2B">
        <w:rPr>
          <w:rFonts w:ascii="Arial" w:hAnsi="Arial" w:cs="Arial"/>
        </w:rPr>
        <w:t>2</w:t>
      </w:r>
      <w:r w:rsidR="00D94492">
        <w:rPr>
          <w:rFonts w:ascii="Arial" w:hAnsi="Arial" w:cs="Arial"/>
        </w:rPr>
        <w:t>1</w:t>
      </w:r>
      <w:r w:rsidR="00316B5D">
        <w:rPr>
          <w:rFonts w:ascii="Arial" w:hAnsi="Arial" w:cs="Arial"/>
        </w:rPr>
        <w:t xml:space="preserve"> financial year and constitutes </w:t>
      </w:r>
      <w:r w:rsidR="00751320">
        <w:rPr>
          <w:rFonts w:ascii="Arial" w:hAnsi="Arial" w:cs="Arial"/>
        </w:rPr>
        <w:t>12</w:t>
      </w:r>
      <w:r w:rsidR="00841A5F">
        <w:rPr>
          <w:rFonts w:ascii="Arial" w:hAnsi="Arial" w:cs="Arial"/>
          <w:color w:val="FF0000"/>
        </w:rPr>
        <w:t xml:space="preserve"> </w:t>
      </w:r>
      <w:r w:rsidR="00841A5F" w:rsidRPr="00841A5F">
        <w:rPr>
          <w:rFonts w:ascii="Arial" w:hAnsi="Arial" w:cs="Arial"/>
          <w:color w:val="000000" w:themeColor="text1"/>
        </w:rPr>
        <w:t>%</w:t>
      </w:r>
      <w:r w:rsidR="00841A5F">
        <w:rPr>
          <w:rFonts w:ascii="Arial" w:hAnsi="Arial" w:cs="Arial"/>
          <w:color w:val="FF0000"/>
        </w:rPr>
        <w:t xml:space="preserve"> </w:t>
      </w:r>
      <w:r w:rsidR="00316B5D">
        <w:rPr>
          <w:rFonts w:ascii="Arial" w:hAnsi="Arial" w:cs="Arial"/>
        </w:rPr>
        <w:t>of the total operating expenditure</w:t>
      </w:r>
      <w:r>
        <w:rPr>
          <w:rFonts w:ascii="Arial" w:hAnsi="Arial" w:cs="Arial"/>
        </w:rPr>
        <w:t>. This was determined based on a</w:t>
      </w:r>
      <w:r w:rsidR="00221A2A">
        <w:rPr>
          <w:rFonts w:ascii="Arial" w:hAnsi="Arial" w:cs="Arial"/>
        </w:rPr>
        <w:t>n estimated</w:t>
      </w:r>
      <w:r>
        <w:rPr>
          <w:rFonts w:ascii="Arial" w:hAnsi="Arial" w:cs="Arial"/>
        </w:rPr>
        <w:t xml:space="preserve"> collection rate of </w:t>
      </w:r>
      <w:r w:rsidR="00D94492">
        <w:rPr>
          <w:rFonts w:ascii="Arial" w:hAnsi="Arial" w:cs="Arial"/>
        </w:rPr>
        <w:t>6</w:t>
      </w:r>
      <w:r w:rsidRPr="005C030A">
        <w:rPr>
          <w:rFonts w:ascii="Arial" w:hAnsi="Arial" w:cs="Arial"/>
        </w:rPr>
        <w:t>0</w:t>
      </w:r>
      <w:r w:rsidR="00841A5F">
        <w:rPr>
          <w:rFonts w:ascii="Arial" w:hAnsi="Arial" w:cs="Arial"/>
          <w:color w:val="FF0000"/>
        </w:rPr>
        <w:t xml:space="preserve"> </w:t>
      </w:r>
      <w:r w:rsidR="00841A5F" w:rsidRPr="00841A5F">
        <w:rPr>
          <w:rFonts w:ascii="Arial" w:hAnsi="Arial" w:cs="Arial"/>
        </w:rPr>
        <w:t>%</w:t>
      </w:r>
      <w:r>
        <w:rPr>
          <w:rFonts w:ascii="Arial" w:hAnsi="Arial" w:cs="Arial"/>
        </w:rPr>
        <w:t xml:space="preserve"> and the Debt Write-off Policy of the municipality.</w:t>
      </w:r>
      <w:r w:rsidR="00FD124B">
        <w:rPr>
          <w:rFonts w:ascii="Arial" w:hAnsi="Arial" w:cs="Arial"/>
        </w:rPr>
        <w:t xml:space="preserve"> </w:t>
      </w:r>
      <w:r>
        <w:rPr>
          <w:rFonts w:ascii="Arial" w:hAnsi="Arial" w:cs="Arial"/>
        </w:rPr>
        <w:t>While this expenditure is a non-cash item, it informed the total cost associated with rendering the services of the municipality, as well as the municipality’s realistically anticipated revenues.</w:t>
      </w:r>
      <w:r w:rsidR="00736BF4">
        <w:rPr>
          <w:rFonts w:ascii="Arial" w:hAnsi="Arial" w:cs="Arial"/>
        </w:rPr>
        <w:t xml:space="preserve"> </w:t>
      </w:r>
    </w:p>
    <w:p w:rsidR="009E3EC7" w:rsidRDefault="009E3EC7" w:rsidP="00387B6B">
      <w:pPr>
        <w:spacing w:after="0" w:line="360" w:lineRule="auto"/>
        <w:jc w:val="both"/>
        <w:rPr>
          <w:rFonts w:ascii="Arial" w:hAnsi="Arial" w:cs="Arial"/>
        </w:rPr>
      </w:pPr>
    </w:p>
    <w:p w:rsidR="00357386" w:rsidRPr="009C4453" w:rsidRDefault="009E3EC7" w:rsidP="00387B6B">
      <w:pPr>
        <w:spacing w:after="0" w:line="360" w:lineRule="auto"/>
        <w:jc w:val="both"/>
        <w:rPr>
          <w:rFonts w:ascii="Arial" w:hAnsi="Arial" w:cs="Arial"/>
          <w:color w:val="000000" w:themeColor="text1"/>
        </w:rPr>
      </w:pPr>
      <w:r>
        <w:rPr>
          <w:rFonts w:ascii="Arial" w:hAnsi="Arial" w:cs="Arial"/>
        </w:rPr>
        <w:t>The</w:t>
      </w:r>
      <w:r w:rsidRPr="007246BA">
        <w:rPr>
          <w:rFonts w:ascii="Arial" w:hAnsi="Arial" w:cs="Arial"/>
        </w:rPr>
        <w:t xml:space="preserve"> transfers and grants amount </w:t>
      </w:r>
      <w:r w:rsidR="00D94492">
        <w:rPr>
          <w:rFonts w:ascii="Arial" w:hAnsi="Arial" w:cs="Arial"/>
        </w:rPr>
        <w:t>is</w:t>
      </w:r>
      <w:r w:rsidRPr="007246BA">
        <w:rPr>
          <w:rFonts w:ascii="Arial" w:hAnsi="Arial" w:cs="Arial"/>
        </w:rPr>
        <w:t xml:space="preserve"> R</w:t>
      </w:r>
      <w:r w:rsidR="00144A9C" w:rsidRPr="007246BA">
        <w:rPr>
          <w:rFonts w:ascii="Arial" w:hAnsi="Arial" w:cs="Arial"/>
        </w:rPr>
        <w:t xml:space="preserve"> </w:t>
      </w:r>
      <w:r w:rsidR="00751320">
        <w:rPr>
          <w:rFonts w:ascii="Arial" w:hAnsi="Arial" w:cs="Arial"/>
        </w:rPr>
        <w:t>38</w:t>
      </w:r>
      <w:r w:rsidR="00D94492">
        <w:rPr>
          <w:rFonts w:ascii="Arial" w:hAnsi="Arial" w:cs="Arial"/>
        </w:rPr>
        <w:t xml:space="preserve"> </w:t>
      </w:r>
      <w:r w:rsidRPr="007246BA">
        <w:rPr>
          <w:rFonts w:ascii="Arial" w:hAnsi="Arial" w:cs="Arial"/>
        </w:rPr>
        <w:t xml:space="preserve">million and this </w:t>
      </w:r>
      <w:r w:rsidR="00221A2A" w:rsidRPr="007246BA">
        <w:rPr>
          <w:rFonts w:ascii="Arial" w:hAnsi="Arial" w:cs="Arial"/>
        </w:rPr>
        <w:t xml:space="preserve">comprises </w:t>
      </w:r>
      <w:r w:rsidR="00221A2A" w:rsidRPr="009C4453">
        <w:rPr>
          <w:rFonts w:ascii="Arial" w:hAnsi="Arial" w:cs="Arial"/>
          <w:color w:val="000000" w:themeColor="text1"/>
        </w:rPr>
        <w:t>of</w:t>
      </w:r>
      <w:r w:rsidR="007246BA" w:rsidRPr="009C4453">
        <w:rPr>
          <w:rFonts w:ascii="Arial" w:hAnsi="Arial" w:cs="Arial"/>
          <w:color w:val="000000" w:themeColor="text1"/>
        </w:rPr>
        <w:t xml:space="preserve"> operating grants funding expenditure,</w:t>
      </w:r>
      <w:r w:rsidR="00221A2A" w:rsidRPr="009C4453">
        <w:rPr>
          <w:rFonts w:ascii="Arial" w:hAnsi="Arial" w:cs="Arial"/>
          <w:color w:val="000000" w:themeColor="text1"/>
        </w:rPr>
        <w:t xml:space="preserve"> </w:t>
      </w:r>
      <w:r w:rsidRPr="009C4453">
        <w:rPr>
          <w:rFonts w:ascii="Arial" w:hAnsi="Arial" w:cs="Arial"/>
          <w:color w:val="000000" w:themeColor="text1"/>
        </w:rPr>
        <w:t xml:space="preserve">a </w:t>
      </w:r>
      <w:r w:rsidR="00FD124B" w:rsidRPr="009C4453">
        <w:rPr>
          <w:rFonts w:ascii="Arial" w:hAnsi="Arial" w:cs="Arial"/>
          <w:color w:val="000000" w:themeColor="text1"/>
        </w:rPr>
        <w:t xml:space="preserve">subsidy </w:t>
      </w:r>
      <w:r w:rsidRPr="009C4453">
        <w:rPr>
          <w:rFonts w:ascii="Arial" w:hAnsi="Arial" w:cs="Arial"/>
          <w:color w:val="000000" w:themeColor="text1"/>
        </w:rPr>
        <w:t>to Chr</w:t>
      </w:r>
      <w:r w:rsidR="00125286" w:rsidRPr="009C4453">
        <w:rPr>
          <w:rFonts w:ascii="Arial" w:hAnsi="Arial" w:cs="Arial"/>
          <w:color w:val="000000" w:themeColor="text1"/>
        </w:rPr>
        <w:t>is Hani Development Agency of R</w:t>
      </w:r>
      <w:r w:rsidR="00144A9C" w:rsidRPr="009C4453">
        <w:rPr>
          <w:rFonts w:ascii="Arial" w:hAnsi="Arial" w:cs="Arial"/>
          <w:color w:val="000000" w:themeColor="text1"/>
        </w:rPr>
        <w:t xml:space="preserve"> </w:t>
      </w:r>
      <w:r w:rsidR="001E5B1F" w:rsidRPr="009C4453">
        <w:rPr>
          <w:rFonts w:ascii="Arial" w:hAnsi="Arial" w:cs="Arial"/>
          <w:color w:val="000000" w:themeColor="text1"/>
        </w:rPr>
        <w:t>2</w:t>
      </w:r>
      <w:r w:rsidR="009C4453">
        <w:rPr>
          <w:rFonts w:ascii="Arial" w:hAnsi="Arial" w:cs="Arial"/>
          <w:color w:val="000000" w:themeColor="text1"/>
        </w:rPr>
        <w:t>9</w:t>
      </w:r>
      <w:r w:rsidR="001E5B1F" w:rsidRPr="009C4453">
        <w:rPr>
          <w:rFonts w:ascii="Arial" w:hAnsi="Arial" w:cs="Arial"/>
          <w:color w:val="000000" w:themeColor="text1"/>
        </w:rPr>
        <w:t>.</w:t>
      </w:r>
      <w:r w:rsidR="009C4453">
        <w:rPr>
          <w:rFonts w:ascii="Arial" w:hAnsi="Arial" w:cs="Arial"/>
          <w:color w:val="000000" w:themeColor="text1"/>
        </w:rPr>
        <w:t>5</w:t>
      </w:r>
      <w:r w:rsidRPr="009C4453">
        <w:rPr>
          <w:rFonts w:ascii="Arial" w:hAnsi="Arial" w:cs="Arial"/>
          <w:color w:val="000000" w:themeColor="text1"/>
        </w:rPr>
        <w:t xml:space="preserve"> million</w:t>
      </w:r>
      <w:r w:rsidR="00125286" w:rsidRPr="009C4453">
        <w:rPr>
          <w:rFonts w:ascii="Arial" w:hAnsi="Arial" w:cs="Arial"/>
          <w:color w:val="000000" w:themeColor="text1"/>
        </w:rPr>
        <w:t xml:space="preserve"> as the operating grant </w:t>
      </w:r>
      <w:r w:rsidR="00125286" w:rsidRPr="007246BA">
        <w:rPr>
          <w:rFonts w:ascii="Arial" w:hAnsi="Arial" w:cs="Arial"/>
        </w:rPr>
        <w:t>to the agency, R</w:t>
      </w:r>
      <w:r w:rsidR="00144A9C" w:rsidRPr="007246BA">
        <w:rPr>
          <w:rFonts w:ascii="Arial" w:hAnsi="Arial" w:cs="Arial"/>
        </w:rPr>
        <w:t xml:space="preserve"> </w:t>
      </w:r>
      <w:r w:rsidR="009C4453">
        <w:rPr>
          <w:rFonts w:ascii="Arial" w:hAnsi="Arial" w:cs="Arial"/>
        </w:rPr>
        <w:t>2.5</w:t>
      </w:r>
      <w:r w:rsidR="00125286" w:rsidRPr="00C148A0">
        <w:rPr>
          <w:rFonts w:ascii="Arial" w:hAnsi="Arial" w:cs="Arial"/>
          <w:color w:val="FF0000"/>
        </w:rPr>
        <w:t xml:space="preserve"> </w:t>
      </w:r>
      <w:r w:rsidR="00125286" w:rsidRPr="007246BA">
        <w:rPr>
          <w:rFonts w:ascii="Arial" w:hAnsi="Arial" w:cs="Arial"/>
        </w:rPr>
        <w:t xml:space="preserve">million for bursary fund </w:t>
      </w:r>
      <w:r w:rsidR="00221A2A" w:rsidRPr="007246BA">
        <w:rPr>
          <w:rFonts w:ascii="Arial" w:hAnsi="Arial" w:cs="Arial"/>
        </w:rPr>
        <w:t xml:space="preserve">and </w:t>
      </w:r>
      <w:r w:rsidR="00C148A0">
        <w:rPr>
          <w:rFonts w:ascii="Arial" w:hAnsi="Arial" w:cs="Arial"/>
        </w:rPr>
        <w:t xml:space="preserve">R </w:t>
      </w:r>
      <w:r w:rsidR="009C4453">
        <w:rPr>
          <w:rFonts w:ascii="Arial" w:hAnsi="Arial" w:cs="Arial"/>
        </w:rPr>
        <w:t>6</w:t>
      </w:r>
      <w:r w:rsidR="00C148A0" w:rsidRPr="00C148A0">
        <w:rPr>
          <w:rFonts w:ascii="Arial" w:hAnsi="Arial" w:cs="Arial"/>
          <w:color w:val="FF0000"/>
        </w:rPr>
        <w:t xml:space="preserve"> </w:t>
      </w:r>
      <w:r w:rsidR="00C148A0" w:rsidRPr="009C4453">
        <w:rPr>
          <w:rFonts w:ascii="Arial" w:hAnsi="Arial" w:cs="Arial"/>
          <w:color w:val="000000" w:themeColor="text1"/>
        </w:rPr>
        <w:t xml:space="preserve">million for Chris Hani </w:t>
      </w:r>
      <w:r w:rsidR="009C4453" w:rsidRPr="009C4453">
        <w:rPr>
          <w:rFonts w:ascii="Arial" w:hAnsi="Arial" w:cs="Arial"/>
          <w:color w:val="000000" w:themeColor="text1"/>
        </w:rPr>
        <w:t>Cooperative</w:t>
      </w:r>
      <w:r w:rsidR="00C148A0" w:rsidRPr="009C4453">
        <w:rPr>
          <w:rFonts w:ascii="Arial" w:hAnsi="Arial" w:cs="Arial"/>
          <w:color w:val="000000" w:themeColor="text1"/>
        </w:rPr>
        <w:t xml:space="preserve"> </w:t>
      </w:r>
      <w:r w:rsidR="009C4453" w:rsidRPr="009C4453">
        <w:rPr>
          <w:rFonts w:ascii="Arial" w:hAnsi="Arial" w:cs="Arial"/>
          <w:color w:val="000000" w:themeColor="text1"/>
        </w:rPr>
        <w:t xml:space="preserve">Development </w:t>
      </w:r>
      <w:r w:rsidR="00C148A0" w:rsidRPr="009C4453">
        <w:rPr>
          <w:rFonts w:ascii="Arial" w:hAnsi="Arial" w:cs="Arial"/>
          <w:color w:val="000000" w:themeColor="text1"/>
        </w:rPr>
        <w:t>centre.</w:t>
      </w:r>
    </w:p>
    <w:p w:rsidR="003F50A3" w:rsidRPr="007246BA" w:rsidRDefault="003F50A3" w:rsidP="00387B6B">
      <w:pPr>
        <w:spacing w:after="0" w:line="360" w:lineRule="auto"/>
        <w:jc w:val="both"/>
        <w:rPr>
          <w:rFonts w:ascii="Arial" w:hAnsi="Arial" w:cs="Arial"/>
        </w:rPr>
      </w:pPr>
    </w:p>
    <w:p w:rsidR="00686158" w:rsidRDefault="00245051" w:rsidP="00686158">
      <w:pPr>
        <w:spacing w:after="0" w:line="360" w:lineRule="auto"/>
        <w:jc w:val="both"/>
        <w:rPr>
          <w:rFonts w:ascii="Arial" w:hAnsi="Arial" w:cs="Arial"/>
        </w:rPr>
      </w:pPr>
      <w:r w:rsidRPr="00EC46A8">
        <w:rPr>
          <w:rFonts w:ascii="Arial" w:hAnsi="Arial" w:cs="Arial"/>
          <w:b/>
        </w:rPr>
        <w:t>The following</w:t>
      </w:r>
      <w:r w:rsidR="00316B5D" w:rsidRPr="00EC46A8">
        <w:rPr>
          <w:rFonts w:ascii="Arial" w:hAnsi="Arial" w:cs="Arial"/>
          <w:b/>
        </w:rPr>
        <w:t xml:space="preserve"> graph</w:t>
      </w:r>
      <w:r w:rsidRPr="00EC46A8">
        <w:rPr>
          <w:rFonts w:ascii="Arial" w:hAnsi="Arial" w:cs="Arial"/>
          <w:b/>
        </w:rPr>
        <w:t xml:space="preserve"> </w:t>
      </w:r>
      <w:r w:rsidR="00646A54" w:rsidRPr="00EC46A8">
        <w:rPr>
          <w:rFonts w:ascii="Arial" w:hAnsi="Arial" w:cs="Arial"/>
          <w:b/>
        </w:rPr>
        <w:t>give</w:t>
      </w:r>
      <w:r w:rsidRPr="00EC46A8">
        <w:rPr>
          <w:rFonts w:ascii="Arial" w:hAnsi="Arial" w:cs="Arial"/>
          <w:b/>
        </w:rPr>
        <w:t xml:space="preserve">s a breakdown of the main expenditure categories for </w:t>
      </w:r>
      <w:r w:rsidR="006706E5" w:rsidRPr="00EC46A8">
        <w:rPr>
          <w:rFonts w:ascii="Arial" w:hAnsi="Arial" w:cs="Arial"/>
          <w:b/>
        </w:rPr>
        <w:t>20</w:t>
      </w:r>
      <w:r w:rsidR="00C148A0">
        <w:rPr>
          <w:rFonts w:ascii="Arial" w:hAnsi="Arial" w:cs="Arial"/>
          <w:b/>
        </w:rPr>
        <w:t>20</w:t>
      </w:r>
      <w:r w:rsidR="006706E5" w:rsidRPr="00EC46A8">
        <w:rPr>
          <w:rFonts w:ascii="Arial" w:hAnsi="Arial" w:cs="Arial"/>
          <w:b/>
        </w:rPr>
        <w:t>/</w:t>
      </w:r>
      <w:r w:rsidR="005C6007">
        <w:rPr>
          <w:rFonts w:ascii="Arial" w:hAnsi="Arial" w:cs="Arial"/>
          <w:b/>
        </w:rPr>
        <w:t>2</w:t>
      </w:r>
      <w:r w:rsidR="00C148A0">
        <w:rPr>
          <w:rFonts w:ascii="Arial" w:hAnsi="Arial" w:cs="Arial"/>
          <w:b/>
        </w:rPr>
        <w:t>1</w:t>
      </w:r>
      <w:r w:rsidRPr="00EC46A8">
        <w:rPr>
          <w:rFonts w:ascii="Arial" w:hAnsi="Arial" w:cs="Arial"/>
          <w:b/>
        </w:rPr>
        <w:t xml:space="preserve"> </w:t>
      </w:r>
      <w:r w:rsidR="00207179" w:rsidRPr="00EC46A8">
        <w:rPr>
          <w:rFonts w:ascii="Arial" w:hAnsi="Arial" w:cs="Arial"/>
          <w:b/>
        </w:rPr>
        <w:t xml:space="preserve">budget </w:t>
      </w:r>
      <w:r w:rsidRPr="00EC46A8">
        <w:rPr>
          <w:rFonts w:ascii="Arial" w:hAnsi="Arial" w:cs="Arial"/>
          <w:b/>
        </w:rPr>
        <w:t>year</w:t>
      </w:r>
      <w:bookmarkStart w:id="40" w:name="_Toc287342510"/>
      <w:bookmarkStart w:id="41" w:name="_Toc415060210"/>
      <w:r w:rsidR="005C6007">
        <w:rPr>
          <w:rFonts w:ascii="Arial" w:hAnsi="Arial" w:cs="Arial"/>
        </w:rPr>
        <w:t>:-</w:t>
      </w:r>
    </w:p>
    <w:p w:rsidR="00667EDC" w:rsidRDefault="00245051" w:rsidP="00686158">
      <w:pPr>
        <w:spacing w:after="0" w:line="360" w:lineRule="auto"/>
        <w:jc w:val="both"/>
        <w:rPr>
          <w:rFonts w:ascii="Arial" w:hAnsi="Arial" w:cs="Arial"/>
        </w:rPr>
      </w:pPr>
      <w:r w:rsidRPr="00703540">
        <w:rPr>
          <w:rFonts w:ascii="Arial" w:hAnsi="Arial" w:cs="Arial"/>
        </w:rPr>
        <w:t xml:space="preserve">Figure </w:t>
      </w:r>
      <w:r w:rsidR="00E077D3">
        <w:rPr>
          <w:rFonts w:ascii="Arial" w:hAnsi="Arial" w:cs="Arial"/>
        </w:rPr>
        <w:t>2</w:t>
      </w:r>
      <w:r w:rsidR="003F50A3">
        <w:rPr>
          <w:rFonts w:ascii="Arial" w:hAnsi="Arial" w:cs="Arial"/>
        </w:rPr>
        <w:t>:</w:t>
      </w:r>
      <w:r w:rsidRPr="00703540">
        <w:rPr>
          <w:rFonts w:ascii="Arial" w:hAnsi="Arial" w:cs="Arial"/>
        </w:rPr>
        <w:t xml:space="preserve"> </w:t>
      </w:r>
      <w:r w:rsidR="00327633" w:rsidRPr="00703540">
        <w:rPr>
          <w:rFonts w:ascii="Arial" w:hAnsi="Arial" w:cs="Arial"/>
        </w:rPr>
        <w:t xml:space="preserve">Main operational expenditure categories for the </w:t>
      </w:r>
      <w:r w:rsidR="006706E5">
        <w:rPr>
          <w:rFonts w:ascii="Arial" w:hAnsi="Arial" w:cs="Arial"/>
        </w:rPr>
        <w:t>20</w:t>
      </w:r>
      <w:r w:rsidR="00C148A0">
        <w:rPr>
          <w:rFonts w:ascii="Arial" w:hAnsi="Arial" w:cs="Arial"/>
        </w:rPr>
        <w:t>20</w:t>
      </w:r>
      <w:r w:rsidR="006706E5">
        <w:rPr>
          <w:rFonts w:ascii="Arial" w:hAnsi="Arial" w:cs="Arial"/>
        </w:rPr>
        <w:t>/</w:t>
      </w:r>
      <w:r w:rsidR="005C6007">
        <w:rPr>
          <w:rFonts w:ascii="Arial" w:hAnsi="Arial" w:cs="Arial"/>
        </w:rPr>
        <w:t>2</w:t>
      </w:r>
      <w:r w:rsidR="00C148A0">
        <w:rPr>
          <w:rFonts w:ascii="Arial" w:hAnsi="Arial" w:cs="Arial"/>
        </w:rPr>
        <w:t>1</w:t>
      </w:r>
      <w:r w:rsidR="00327633" w:rsidRPr="00703540">
        <w:rPr>
          <w:rFonts w:ascii="Arial" w:hAnsi="Arial" w:cs="Arial"/>
        </w:rPr>
        <w:t xml:space="preserve"> financial year</w:t>
      </w:r>
      <w:bookmarkEnd w:id="40"/>
      <w:bookmarkEnd w:id="41"/>
      <w:r w:rsidR="00F24A9A">
        <w:rPr>
          <w:rFonts w:ascii="Arial" w:hAnsi="Arial" w:cs="Arial"/>
        </w:rPr>
        <w:t>:</w:t>
      </w:r>
      <w:r w:rsidR="00841A5F">
        <w:rPr>
          <w:rFonts w:ascii="Arial" w:hAnsi="Arial" w:cs="Arial"/>
        </w:rPr>
        <w:t>-</w:t>
      </w:r>
      <w:r w:rsidR="00F24A9A">
        <w:rPr>
          <w:rFonts w:ascii="Arial" w:hAnsi="Arial" w:cs="Arial"/>
        </w:rPr>
        <w:t xml:space="preserve"> </w:t>
      </w:r>
    </w:p>
    <w:p w:rsidR="00DF2818" w:rsidRPr="002A3BE2" w:rsidRDefault="006355C0" w:rsidP="00686158">
      <w:pPr>
        <w:spacing w:after="0" w:line="360" w:lineRule="auto"/>
        <w:jc w:val="both"/>
        <w:rPr>
          <w:rFonts w:ascii="Arial" w:hAnsi="Arial" w:cs="Arial"/>
        </w:rPr>
      </w:pPr>
      <w:bookmarkStart w:id="42" w:name="_Toc415060211"/>
      <w:r>
        <w:rPr>
          <w:noProof/>
          <w:lang w:val="en-US" w:eastAsia="en-US"/>
        </w:rPr>
        <w:drawing>
          <wp:inline distT="0" distB="0" distL="0" distR="0" wp14:anchorId="5C6388F6" wp14:editId="1ED9F5B8">
            <wp:extent cx="5943600" cy="5971540"/>
            <wp:effectExtent l="0" t="0" r="0" b="101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7784" w:rsidRPr="00C90AD9" w:rsidRDefault="00C90AD9" w:rsidP="00C148A0">
      <w:pPr>
        <w:pStyle w:val="Heading3"/>
        <w:numPr>
          <w:ilvl w:val="0"/>
          <w:numId w:val="0"/>
        </w:numPr>
        <w:spacing w:line="360" w:lineRule="auto"/>
        <w:ind w:left="720" w:hanging="720"/>
        <w:rPr>
          <w:rFonts w:ascii="Arial" w:hAnsi="Arial" w:cs="Arial"/>
          <w:color w:val="auto"/>
        </w:rPr>
      </w:pPr>
      <w:r w:rsidRPr="00956A70">
        <w:rPr>
          <w:rFonts w:ascii="Arial" w:eastAsia="Times New Roman" w:hAnsi="Arial" w:cs="Arial"/>
          <w:color w:val="auto"/>
          <w:lang w:val="en-GB"/>
        </w:rPr>
        <w:t xml:space="preserve">Free Basic Services: </w:t>
      </w:r>
      <w:r w:rsidR="00DE23C0">
        <w:rPr>
          <w:rFonts w:ascii="Arial" w:eastAsia="Times New Roman" w:hAnsi="Arial" w:cs="Arial"/>
          <w:color w:val="auto"/>
          <w:lang w:val="en-GB"/>
        </w:rPr>
        <w:t>Indigent Support</w:t>
      </w:r>
      <w:bookmarkEnd w:id="42"/>
      <w:r w:rsidR="005C6007">
        <w:rPr>
          <w:rFonts w:ascii="Arial" w:eastAsia="Times New Roman" w:hAnsi="Arial" w:cs="Arial"/>
          <w:color w:val="auto"/>
          <w:lang w:val="en-GB"/>
        </w:rPr>
        <w:t>:-</w:t>
      </w:r>
    </w:p>
    <w:p w:rsidR="00C25BF5" w:rsidRDefault="00C25BF5" w:rsidP="00387B6B">
      <w:pPr>
        <w:keepNext/>
        <w:keepLines/>
        <w:spacing w:after="0" w:line="360" w:lineRule="auto"/>
        <w:jc w:val="both"/>
        <w:rPr>
          <w:rFonts w:ascii="Arial" w:hAnsi="Arial" w:cs="Arial"/>
        </w:rPr>
      </w:pPr>
    </w:p>
    <w:p w:rsidR="00DE23C0" w:rsidRDefault="00C87784" w:rsidP="00387B6B">
      <w:pPr>
        <w:spacing w:after="0" w:line="360" w:lineRule="auto"/>
        <w:jc w:val="both"/>
        <w:rPr>
          <w:rFonts w:ascii="Arial" w:hAnsi="Arial" w:cs="Arial"/>
        </w:rPr>
      </w:pPr>
      <w:r w:rsidRPr="00C87784">
        <w:rPr>
          <w:rFonts w:ascii="Arial" w:hAnsi="Arial" w:cs="Arial"/>
        </w:rPr>
        <w:t xml:space="preserve">The </w:t>
      </w:r>
      <w:r w:rsidR="00DE23C0">
        <w:rPr>
          <w:rFonts w:ascii="Arial" w:hAnsi="Arial" w:cs="Arial"/>
        </w:rPr>
        <w:t>indigent support</w:t>
      </w:r>
      <w:r w:rsidRPr="00C87784">
        <w:rPr>
          <w:rFonts w:ascii="Arial" w:hAnsi="Arial" w:cs="Arial"/>
        </w:rPr>
        <w:t xml:space="preserve"> assists households that </w:t>
      </w:r>
      <w:r w:rsidR="00C90AD9">
        <w:rPr>
          <w:rFonts w:ascii="Arial" w:hAnsi="Arial" w:cs="Arial"/>
        </w:rPr>
        <w:t xml:space="preserve">are poor or face other circumstances that limit their ability to </w:t>
      </w:r>
      <w:r w:rsidRPr="00C87784">
        <w:rPr>
          <w:rFonts w:ascii="Arial" w:hAnsi="Arial" w:cs="Arial"/>
        </w:rPr>
        <w:t>pay for</w:t>
      </w:r>
      <w:r w:rsidR="00C709B2">
        <w:rPr>
          <w:rFonts w:ascii="Arial" w:hAnsi="Arial" w:cs="Arial"/>
        </w:rPr>
        <w:t xml:space="preserve"> municipal</w:t>
      </w:r>
      <w:r w:rsidRPr="00C87784">
        <w:rPr>
          <w:rFonts w:ascii="Arial" w:hAnsi="Arial" w:cs="Arial"/>
        </w:rPr>
        <w:t xml:space="preserve"> services</w:t>
      </w:r>
      <w:r w:rsidR="00C25BF5">
        <w:rPr>
          <w:rFonts w:ascii="Arial" w:hAnsi="Arial" w:cs="Arial"/>
        </w:rPr>
        <w:t>.  To receive these free</w:t>
      </w:r>
      <w:r w:rsidR="000B7CBA">
        <w:rPr>
          <w:rFonts w:ascii="Arial" w:hAnsi="Arial" w:cs="Arial"/>
        </w:rPr>
        <w:t xml:space="preserve"> basic</w:t>
      </w:r>
      <w:r w:rsidR="00C25BF5">
        <w:rPr>
          <w:rFonts w:ascii="Arial" w:hAnsi="Arial" w:cs="Arial"/>
        </w:rPr>
        <w:t xml:space="preserve"> services the households are required to register </w:t>
      </w:r>
      <w:r w:rsidRPr="00C87784">
        <w:rPr>
          <w:rFonts w:ascii="Arial" w:hAnsi="Arial" w:cs="Arial"/>
        </w:rPr>
        <w:t xml:space="preserve">in terms of the </w:t>
      </w:r>
      <w:r w:rsidR="00DE23C0">
        <w:rPr>
          <w:rFonts w:ascii="Arial" w:hAnsi="Arial" w:cs="Arial"/>
        </w:rPr>
        <w:t xml:space="preserve">municipality’s indigent policy in </w:t>
      </w:r>
      <w:r w:rsidR="0091646C">
        <w:rPr>
          <w:rFonts w:ascii="Arial" w:hAnsi="Arial" w:cs="Arial"/>
        </w:rPr>
        <w:t>re</w:t>
      </w:r>
      <w:r w:rsidR="00C148A0">
        <w:rPr>
          <w:rFonts w:ascii="Arial" w:hAnsi="Arial" w:cs="Arial"/>
        </w:rPr>
        <w:t xml:space="preserve">lation </w:t>
      </w:r>
      <w:r w:rsidR="0091646C">
        <w:rPr>
          <w:rFonts w:ascii="Arial" w:hAnsi="Arial" w:cs="Arial"/>
        </w:rPr>
        <w:t xml:space="preserve">to </w:t>
      </w:r>
      <w:r w:rsidR="00DE23C0">
        <w:rPr>
          <w:rFonts w:ascii="Arial" w:hAnsi="Arial" w:cs="Arial"/>
        </w:rPr>
        <w:t>the water and sanitation services</w:t>
      </w:r>
      <w:r w:rsidRPr="00C87784">
        <w:rPr>
          <w:rFonts w:ascii="Arial" w:hAnsi="Arial" w:cs="Arial"/>
        </w:rPr>
        <w:t xml:space="preserve">.  </w:t>
      </w:r>
      <w:r w:rsidR="00DE23C0" w:rsidRPr="00C87784">
        <w:rPr>
          <w:rFonts w:ascii="Arial" w:hAnsi="Arial" w:cs="Arial"/>
        </w:rPr>
        <w:t xml:space="preserve">The </w:t>
      </w:r>
      <w:r w:rsidR="00DE23C0">
        <w:rPr>
          <w:rFonts w:ascii="Arial" w:hAnsi="Arial" w:cs="Arial"/>
        </w:rPr>
        <w:t xml:space="preserve">district municipality will </w:t>
      </w:r>
      <w:r w:rsidR="006C1480">
        <w:rPr>
          <w:rFonts w:ascii="Arial" w:hAnsi="Arial" w:cs="Arial"/>
        </w:rPr>
        <w:t>ha</w:t>
      </w:r>
      <w:r w:rsidR="00EF44A1">
        <w:rPr>
          <w:rFonts w:ascii="Arial" w:hAnsi="Arial" w:cs="Arial"/>
        </w:rPr>
        <w:t>ve</w:t>
      </w:r>
      <w:r w:rsidR="006C1480">
        <w:rPr>
          <w:rFonts w:ascii="Arial" w:hAnsi="Arial" w:cs="Arial"/>
        </w:rPr>
        <w:t xml:space="preserve"> an ongoing </w:t>
      </w:r>
      <w:r w:rsidR="007B6FDE">
        <w:rPr>
          <w:rFonts w:ascii="Arial" w:hAnsi="Arial" w:cs="Arial"/>
        </w:rPr>
        <w:t>indigent registration</w:t>
      </w:r>
      <w:r w:rsidR="006C1480">
        <w:rPr>
          <w:rFonts w:ascii="Arial" w:hAnsi="Arial" w:cs="Arial"/>
        </w:rPr>
        <w:t xml:space="preserve"> programme </w:t>
      </w:r>
      <w:r w:rsidR="007B6FDE">
        <w:rPr>
          <w:rFonts w:ascii="Arial" w:hAnsi="Arial" w:cs="Arial"/>
        </w:rPr>
        <w:t xml:space="preserve">and data cleansing </w:t>
      </w:r>
      <w:r w:rsidR="006C1480">
        <w:rPr>
          <w:rFonts w:ascii="Arial" w:hAnsi="Arial" w:cs="Arial"/>
        </w:rPr>
        <w:t xml:space="preserve">will be conducted </w:t>
      </w:r>
      <w:r w:rsidR="007B6FDE">
        <w:rPr>
          <w:rFonts w:ascii="Arial" w:hAnsi="Arial" w:cs="Arial"/>
        </w:rPr>
        <w:t>as part of the revenue enhancement strategy so as to provide for the indigent households</w:t>
      </w:r>
      <w:r w:rsidR="00BC54DE">
        <w:rPr>
          <w:rFonts w:ascii="Arial" w:hAnsi="Arial" w:cs="Arial"/>
        </w:rPr>
        <w:t xml:space="preserve">, </w:t>
      </w:r>
      <w:r w:rsidR="00DE23C0">
        <w:rPr>
          <w:rFonts w:ascii="Arial" w:hAnsi="Arial" w:cs="Arial"/>
        </w:rPr>
        <w:t>this</w:t>
      </w:r>
      <w:r w:rsidR="00BC54DE">
        <w:rPr>
          <w:rFonts w:ascii="Arial" w:hAnsi="Arial" w:cs="Arial"/>
        </w:rPr>
        <w:t xml:space="preserve"> process</w:t>
      </w:r>
      <w:r w:rsidR="00DE23C0">
        <w:rPr>
          <w:rFonts w:ascii="Arial" w:hAnsi="Arial" w:cs="Arial"/>
        </w:rPr>
        <w:t xml:space="preserve"> </w:t>
      </w:r>
      <w:r w:rsidR="0091646C">
        <w:rPr>
          <w:rFonts w:ascii="Arial" w:hAnsi="Arial" w:cs="Arial"/>
        </w:rPr>
        <w:t xml:space="preserve">is being </w:t>
      </w:r>
      <w:r w:rsidR="00C25BF5">
        <w:rPr>
          <w:rFonts w:ascii="Arial" w:hAnsi="Arial" w:cs="Arial"/>
        </w:rPr>
        <w:t>reviewed</w:t>
      </w:r>
      <w:r w:rsidR="00BC54DE">
        <w:rPr>
          <w:rFonts w:ascii="Arial" w:hAnsi="Arial" w:cs="Arial"/>
        </w:rPr>
        <w:t xml:space="preserve"> annually.</w:t>
      </w:r>
      <w:r w:rsidR="00A05B63">
        <w:rPr>
          <w:rFonts w:ascii="Arial" w:hAnsi="Arial" w:cs="Arial"/>
        </w:rPr>
        <w:t xml:space="preserve"> </w:t>
      </w:r>
      <w:r>
        <w:rPr>
          <w:rFonts w:ascii="Arial" w:hAnsi="Arial" w:cs="Arial"/>
        </w:rPr>
        <w:t>Detail relating to free services, cost of free basi</w:t>
      </w:r>
      <w:r w:rsidR="0091646C">
        <w:rPr>
          <w:rFonts w:ascii="Arial" w:hAnsi="Arial" w:cs="Arial"/>
        </w:rPr>
        <w:t>c</w:t>
      </w:r>
      <w:r>
        <w:rPr>
          <w:rFonts w:ascii="Arial" w:hAnsi="Arial" w:cs="Arial"/>
        </w:rPr>
        <w:t xml:space="preserve"> services, revenue lost owing to free basic services as well as basic service deliv</w:t>
      </w:r>
      <w:r w:rsidR="002303EB">
        <w:rPr>
          <w:rFonts w:ascii="Arial" w:hAnsi="Arial" w:cs="Arial"/>
        </w:rPr>
        <w:t xml:space="preserve">ery measurement is contained in Table </w:t>
      </w:r>
      <w:r>
        <w:rPr>
          <w:rFonts w:ascii="Arial" w:hAnsi="Arial" w:cs="Arial"/>
        </w:rPr>
        <w:t>A10 (Basic Service Delivery Measurement)</w:t>
      </w:r>
      <w:r w:rsidR="00C709B2">
        <w:rPr>
          <w:rFonts w:ascii="Arial" w:hAnsi="Arial" w:cs="Arial"/>
        </w:rPr>
        <w:t xml:space="preserve"> and </w:t>
      </w:r>
      <w:r w:rsidR="00C709B2" w:rsidRPr="002A3BE2">
        <w:rPr>
          <w:rFonts w:ascii="Arial" w:hAnsi="Arial" w:cs="Arial"/>
        </w:rPr>
        <w:t>supporting table SA</w:t>
      </w:r>
      <w:r w:rsidR="002B76F1">
        <w:rPr>
          <w:rFonts w:ascii="Arial" w:hAnsi="Arial" w:cs="Arial"/>
        </w:rPr>
        <w:t>9</w:t>
      </w:r>
      <w:r w:rsidR="00DE23C0">
        <w:rPr>
          <w:rFonts w:ascii="Arial" w:hAnsi="Arial" w:cs="Arial"/>
        </w:rPr>
        <w:t>.</w:t>
      </w:r>
      <w:r>
        <w:rPr>
          <w:rFonts w:ascii="Arial" w:hAnsi="Arial" w:cs="Arial"/>
        </w:rPr>
        <w:t xml:space="preserve"> </w:t>
      </w:r>
    </w:p>
    <w:p w:rsidR="00DE23C0" w:rsidRDefault="00DE23C0" w:rsidP="00387B6B">
      <w:pPr>
        <w:spacing w:after="0" w:line="360" w:lineRule="auto"/>
        <w:jc w:val="both"/>
        <w:rPr>
          <w:rFonts w:ascii="Arial" w:hAnsi="Arial" w:cs="Arial"/>
        </w:rPr>
      </w:pPr>
    </w:p>
    <w:p w:rsidR="00C87784" w:rsidRDefault="00C87784" w:rsidP="00387B6B">
      <w:pPr>
        <w:spacing w:after="0" w:line="360" w:lineRule="auto"/>
        <w:jc w:val="both"/>
        <w:rPr>
          <w:rFonts w:ascii="Arial" w:hAnsi="Arial" w:cs="Arial"/>
        </w:rPr>
      </w:pPr>
      <w:r w:rsidRPr="00C87784">
        <w:rPr>
          <w:rFonts w:ascii="Arial" w:hAnsi="Arial" w:cs="Arial"/>
        </w:rPr>
        <w:t xml:space="preserve">The cost of the </w:t>
      </w:r>
      <w:r w:rsidR="00DE23C0">
        <w:rPr>
          <w:rFonts w:ascii="Arial" w:hAnsi="Arial" w:cs="Arial"/>
        </w:rPr>
        <w:t>indigent support</w:t>
      </w:r>
      <w:r w:rsidRPr="00C87784">
        <w:rPr>
          <w:rFonts w:ascii="Arial" w:hAnsi="Arial" w:cs="Arial"/>
        </w:rPr>
        <w:t xml:space="preserve"> </w:t>
      </w:r>
      <w:r w:rsidR="0091646C">
        <w:rPr>
          <w:rFonts w:ascii="Arial" w:hAnsi="Arial" w:cs="Arial"/>
        </w:rPr>
        <w:t xml:space="preserve">to </w:t>
      </w:r>
      <w:r w:rsidRPr="00C87784">
        <w:rPr>
          <w:rFonts w:ascii="Arial" w:hAnsi="Arial" w:cs="Arial"/>
        </w:rPr>
        <w:t xml:space="preserve">the registered indigent </w:t>
      </w:r>
      <w:r w:rsidR="00C25BF5">
        <w:rPr>
          <w:rFonts w:ascii="Arial" w:hAnsi="Arial" w:cs="Arial"/>
        </w:rPr>
        <w:t xml:space="preserve">households is </w:t>
      </w:r>
      <w:r w:rsidR="00470799">
        <w:rPr>
          <w:rFonts w:ascii="Arial" w:hAnsi="Arial" w:cs="Arial"/>
        </w:rPr>
        <w:t xml:space="preserve">largely </w:t>
      </w:r>
      <w:r w:rsidR="00C25BF5">
        <w:rPr>
          <w:rFonts w:ascii="Arial" w:hAnsi="Arial" w:cs="Arial"/>
        </w:rPr>
        <w:t xml:space="preserve">financed by </w:t>
      </w:r>
      <w:r w:rsidR="003F50A3">
        <w:rPr>
          <w:rFonts w:ascii="Arial" w:hAnsi="Arial" w:cs="Arial"/>
        </w:rPr>
        <w:t>N</w:t>
      </w:r>
      <w:r w:rsidR="00C25BF5">
        <w:rPr>
          <w:rFonts w:ascii="Arial" w:hAnsi="Arial" w:cs="Arial"/>
        </w:rPr>
        <w:t xml:space="preserve">ational government through the local government </w:t>
      </w:r>
      <w:r w:rsidRPr="00C87784">
        <w:rPr>
          <w:rFonts w:ascii="Arial" w:hAnsi="Arial" w:cs="Arial"/>
        </w:rPr>
        <w:t xml:space="preserve">equitable share received in terms of the </w:t>
      </w:r>
      <w:r w:rsidR="00C25BF5">
        <w:rPr>
          <w:rFonts w:ascii="Arial" w:hAnsi="Arial" w:cs="Arial"/>
        </w:rPr>
        <w:t xml:space="preserve">annual </w:t>
      </w:r>
      <w:r w:rsidRPr="00C87784">
        <w:rPr>
          <w:rFonts w:ascii="Arial" w:hAnsi="Arial" w:cs="Arial"/>
        </w:rPr>
        <w:t>D</w:t>
      </w:r>
      <w:r w:rsidR="00C25BF5">
        <w:rPr>
          <w:rFonts w:ascii="Arial" w:hAnsi="Arial" w:cs="Arial"/>
        </w:rPr>
        <w:t>ivision of Revenue Act.</w:t>
      </w:r>
    </w:p>
    <w:p w:rsidR="00DF7706" w:rsidRDefault="00DF7706" w:rsidP="00387B6B">
      <w:pPr>
        <w:spacing w:after="0" w:line="360" w:lineRule="auto"/>
        <w:jc w:val="both"/>
        <w:rPr>
          <w:rFonts w:ascii="Arial" w:hAnsi="Arial" w:cs="Arial"/>
        </w:rPr>
      </w:pPr>
    </w:p>
    <w:p w:rsidR="00FE08DD" w:rsidRPr="0091646C" w:rsidRDefault="00FE08DD" w:rsidP="00387B6B">
      <w:pPr>
        <w:spacing w:after="0" w:line="360" w:lineRule="auto"/>
        <w:jc w:val="both"/>
        <w:rPr>
          <w:rFonts w:ascii="Arial" w:hAnsi="Arial" w:cs="Arial"/>
          <w:i/>
        </w:rPr>
      </w:pPr>
      <w:r w:rsidRPr="00FE08DD">
        <w:rPr>
          <w:rFonts w:ascii="Arial" w:hAnsi="Arial" w:cs="Arial"/>
        </w:rPr>
        <w:t>The basic services component provides a subsidy of R</w:t>
      </w:r>
      <w:r w:rsidR="00EF44A1">
        <w:rPr>
          <w:rFonts w:ascii="Arial" w:hAnsi="Arial" w:cs="Arial"/>
        </w:rPr>
        <w:t xml:space="preserve"> </w:t>
      </w:r>
      <w:r w:rsidR="000B3BF0" w:rsidRPr="000B3BF0">
        <w:rPr>
          <w:rFonts w:ascii="Arial" w:hAnsi="Arial" w:cs="Arial"/>
        </w:rPr>
        <w:t>4</w:t>
      </w:r>
      <w:r w:rsidR="000B218A">
        <w:rPr>
          <w:rFonts w:ascii="Arial" w:hAnsi="Arial" w:cs="Arial"/>
        </w:rPr>
        <w:t>35</w:t>
      </w:r>
      <w:r w:rsidR="00C54CAA" w:rsidRPr="000B3BF0">
        <w:rPr>
          <w:rFonts w:ascii="Arial" w:hAnsi="Arial" w:cs="Arial"/>
        </w:rPr>
        <w:t>.</w:t>
      </w:r>
      <w:r w:rsidR="000B218A">
        <w:rPr>
          <w:rFonts w:ascii="Arial" w:hAnsi="Arial" w:cs="Arial"/>
        </w:rPr>
        <w:t>05</w:t>
      </w:r>
      <w:r w:rsidRPr="008427BE">
        <w:rPr>
          <w:rFonts w:ascii="Arial" w:hAnsi="Arial" w:cs="Arial"/>
          <w:color w:val="FF0000"/>
        </w:rPr>
        <w:t xml:space="preserve"> </w:t>
      </w:r>
      <w:r w:rsidRPr="00FE08DD">
        <w:rPr>
          <w:rFonts w:ascii="Arial" w:hAnsi="Arial" w:cs="Arial"/>
        </w:rPr>
        <w:t xml:space="preserve">per month in </w:t>
      </w:r>
      <w:r w:rsidR="006706E5">
        <w:rPr>
          <w:rFonts w:ascii="Arial" w:hAnsi="Arial" w:cs="Arial"/>
        </w:rPr>
        <w:t>20</w:t>
      </w:r>
      <w:r w:rsidR="000B218A">
        <w:rPr>
          <w:rFonts w:ascii="Arial" w:hAnsi="Arial" w:cs="Arial"/>
        </w:rPr>
        <w:t>20</w:t>
      </w:r>
      <w:r w:rsidR="006706E5">
        <w:rPr>
          <w:rFonts w:ascii="Arial" w:hAnsi="Arial" w:cs="Arial"/>
        </w:rPr>
        <w:t>/</w:t>
      </w:r>
      <w:r w:rsidR="008427BE">
        <w:rPr>
          <w:rFonts w:ascii="Arial" w:hAnsi="Arial" w:cs="Arial"/>
        </w:rPr>
        <w:t>2</w:t>
      </w:r>
      <w:r w:rsidR="000B218A">
        <w:rPr>
          <w:rFonts w:ascii="Arial" w:hAnsi="Arial" w:cs="Arial"/>
        </w:rPr>
        <w:t>1</w:t>
      </w:r>
      <w:r w:rsidRPr="00FE08DD">
        <w:rPr>
          <w:rFonts w:ascii="Arial" w:hAnsi="Arial" w:cs="Arial"/>
        </w:rPr>
        <w:t xml:space="preserve"> for the cost of</w:t>
      </w:r>
      <w:r>
        <w:rPr>
          <w:rFonts w:ascii="Arial" w:hAnsi="Arial" w:cs="Arial"/>
        </w:rPr>
        <w:t xml:space="preserve"> </w:t>
      </w:r>
      <w:r w:rsidRPr="00FE08DD">
        <w:rPr>
          <w:rFonts w:ascii="Arial" w:hAnsi="Arial" w:cs="Arial"/>
        </w:rPr>
        <w:t>providing basic services to each of these households. The subsidy includes funding for the provision of</w:t>
      </w:r>
      <w:r>
        <w:rPr>
          <w:rFonts w:ascii="Arial" w:hAnsi="Arial" w:cs="Arial"/>
        </w:rPr>
        <w:t xml:space="preserve"> </w:t>
      </w:r>
      <w:r w:rsidRPr="00FE08DD">
        <w:rPr>
          <w:rFonts w:ascii="Arial" w:hAnsi="Arial" w:cs="Arial"/>
        </w:rPr>
        <w:t xml:space="preserve">free basic water (6 kilolitres per poor household per month), </w:t>
      </w:r>
      <w:r w:rsidRPr="00D43CC8">
        <w:rPr>
          <w:rFonts w:ascii="Arial" w:hAnsi="Arial" w:cs="Arial"/>
        </w:rPr>
        <w:t>energy (50 kilowatt-hours per month) sanitation and refuse (based on service levels defined by national policy)</w:t>
      </w:r>
      <w:r w:rsidRPr="00FE08DD">
        <w:rPr>
          <w:rFonts w:ascii="Arial" w:hAnsi="Arial" w:cs="Arial"/>
        </w:rPr>
        <w:t>. The monthly amount provided</w:t>
      </w:r>
      <w:r>
        <w:rPr>
          <w:rFonts w:ascii="Arial" w:hAnsi="Arial" w:cs="Arial"/>
        </w:rPr>
        <w:t xml:space="preserve"> </w:t>
      </w:r>
      <w:r w:rsidRPr="00FE08DD">
        <w:rPr>
          <w:rFonts w:ascii="Arial" w:hAnsi="Arial" w:cs="Arial"/>
        </w:rPr>
        <w:t xml:space="preserve">for each service is detailed in </w:t>
      </w:r>
      <w:r w:rsidRPr="006B5F1D">
        <w:rPr>
          <w:rFonts w:ascii="Arial" w:hAnsi="Arial" w:cs="Arial"/>
        </w:rPr>
        <w:t xml:space="preserve">Table </w:t>
      </w:r>
      <w:r w:rsidRPr="000B3BF0">
        <w:rPr>
          <w:rFonts w:ascii="Arial" w:hAnsi="Arial" w:cs="Arial"/>
        </w:rPr>
        <w:t>W1.2</w:t>
      </w:r>
      <w:r w:rsidR="000B218A">
        <w:rPr>
          <w:rFonts w:ascii="Arial" w:hAnsi="Arial" w:cs="Arial"/>
        </w:rPr>
        <w:t>6</w:t>
      </w:r>
      <w:r w:rsidR="000B3BF0">
        <w:rPr>
          <w:rFonts w:ascii="Arial" w:hAnsi="Arial" w:cs="Arial"/>
        </w:rPr>
        <w:t xml:space="preserve"> below</w:t>
      </w:r>
      <w:r w:rsidRPr="000B3BF0">
        <w:rPr>
          <w:rFonts w:ascii="Arial" w:hAnsi="Arial" w:cs="Arial"/>
        </w:rPr>
        <w:t xml:space="preserve"> </w:t>
      </w:r>
      <w:r w:rsidRPr="00C709B2">
        <w:rPr>
          <w:rFonts w:ascii="Arial" w:hAnsi="Arial" w:cs="Arial"/>
        </w:rPr>
        <w:t>and</w:t>
      </w:r>
      <w:r w:rsidRPr="00FE08DD">
        <w:rPr>
          <w:rFonts w:ascii="Arial" w:hAnsi="Arial" w:cs="Arial"/>
        </w:rPr>
        <w:t xml:space="preserve"> includes an allocation of </w:t>
      </w:r>
      <w:r w:rsidRPr="000B3BF0">
        <w:rPr>
          <w:rFonts w:ascii="Arial" w:hAnsi="Arial" w:cs="Arial"/>
        </w:rPr>
        <w:t>10</w:t>
      </w:r>
      <w:r w:rsidR="000B3BF0">
        <w:rPr>
          <w:rFonts w:ascii="Arial" w:hAnsi="Arial" w:cs="Arial"/>
          <w:color w:val="FF0000"/>
        </w:rPr>
        <w:t xml:space="preserve"> </w:t>
      </w:r>
      <w:r w:rsidR="0091646C">
        <w:rPr>
          <w:rFonts w:ascii="Arial" w:hAnsi="Arial" w:cs="Arial"/>
        </w:rPr>
        <w:t>%</w:t>
      </w:r>
      <w:r w:rsidRPr="00FE08DD">
        <w:rPr>
          <w:rFonts w:ascii="Arial" w:hAnsi="Arial" w:cs="Arial"/>
        </w:rPr>
        <w:t xml:space="preserve"> for service</w:t>
      </w:r>
      <w:r>
        <w:rPr>
          <w:rFonts w:ascii="Arial" w:hAnsi="Arial" w:cs="Arial"/>
        </w:rPr>
        <w:t xml:space="preserve"> </w:t>
      </w:r>
      <w:r w:rsidRPr="00FE08DD">
        <w:rPr>
          <w:rFonts w:ascii="Arial" w:hAnsi="Arial" w:cs="Arial"/>
        </w:rPr>
        <w:t>maintenance costs</w:t>
      </w:r>
      <w:r w:rsidR="00C709B2">
        <w:rPr>
          <w:rFonts w:ascii="Arial" w:hAnsi="Arial" w:cs="Arial"/>
        </w:rPr>
        <w:t xml:space="preserve"> that </w:t>
      </w:r>
      <w:r w:rsidR="000B218A">
        <w:rPr>
          <w:rFonts w:ascii="Arial" w:hAnsi="Arial" w:cs="Arial"/>
        </w:rPr>
        <w:t xml:space="preserve">are </w:t>
      </w:r>
      <w:r w:rsidR="00C709B2">
        <w:rPr>
          <w:rFonts w:ascii="Arial" w:hAnsi="Arial" w:cs="Arial"/>
        </w:rPr>
        <w:t>incurred by the municipality.</w:t>
      </w:r>
      <w:r w:rsidR="00D43CC8">
        <w:rPr>
          <w:rFonts w:ascii="Arial" w:hAnsi="Arial" w:cs="Arial"/>
        </w:rPr>
        <w:t xml:space="preserve"> Applicable to Chris Hani district municipality would be a subsidy of R </w:t>
      </w:r>
      <w:r w:rsidR="00747FAB" w:rsidRPr="000B3BF0">
        <w:rPr>
          <w:rFonts w:ascii="Arial" w:hAnsi="Arial" w:cs="Arial"/>
        </w:rPr>
        <w:t>2</w:t>
      </w:r>
      <w:r w:rsidR="000B218A">
        <w:rPr>
          <w:rFonts w:ascii="Arial" w:hAnsi="Arial" w:cs="Arial"/>
        </w:rPr>
        <w:t>51.77</w:t>
      </w:r>
      <w:r w:rsidR="00747FAB" w:rsidRPr="008427BE">
        <w:rPr>
          <w:rFonts w:ascii="Arial" w:hAnsi="Arial" w:cs="Arial"/>
          <w:color w:val="FF0000"/>
        </w:rPr>
        <w:t xml:space="preserve"> </w:t>
      </w:r>
      <w:r w:rsidR="00D43CC8">
        <w:rPr>
          <w:rFonts w:ascii="Arial" w:hAnsi="Arial" w:cs="Arial"/>
        </w:rPr>
        <w:t xml:space="preserve">per indigent household per month that excludes </w:t>
      </w:r>
      <w:r w:rsidR="00D31EFF">
        <w:rPr>
          <w:rFonts w:ascii="Arial" w:hAnsi="Arial" w:cs="Arial"/>
        </w:rPr>
        <w:t>the energy and refuse components.</w:t>
      </w:r>
      <w:r w:rsidR="00F24A9A">
        <w:rPr>
          <w:rFonts w:ascii="Arial" w:hAnsi="Arial" w:cs="Arial"/>
        </w:rPr>
        <w:t xml:space="preserve"> </w:t>
      </w:r>
    </w:p>
    <w:p w:rsidR="00DF7706" w:rsidRDefault="002033DE" w:rsidP="00387B6B">
      <w:pPr>
        <w:spacing w:after="0" w:line="360" w:lineRule="auto"/>
        <w:jc w:val="both"/>
        <w:rPr>
          <w:rFonts w:ascii="Arial" w:hAnsi="Arial" w:cs="Arial"/>
        </w:rPr>
      </w:pPr>
      <w:r w:rsidRPr="002033DE">
        <w:rPr>
          <w:noProof/>
          <w:lang w:val="en-US" w:eastAsia="en-US"/>
        </w:rPr>
        <w:drawing>
          <wp:inline distT="0" distB="0" distL="0" distR="0">
            <wp:extent cx="5943600" cy="259855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598553"/>
                    </a:xfrm>
                    <a:prstGeom prst="rect">
                      <a:avLst/>
                    </a:prstGeom>
                    <a:noFill/>
                    <a:ln>
                      <a:noFill/>
                    </a:ln>
                  </pic:spPr>
                </pic:pic>
              </a:graphicData>
            </a:graphic>
          </wp:inline>
        </w:drawing>
      </w:r>
    </w:p>
    <w:p w:rsidR="00C25BF5" w:rsidRDefault="00D83EF0" w:rsidP="00387B6B">
      <w:pPr>
        <w:pStyle w:val="Heading2"/>
        <w:spacing w:line="360" w:lineRule="auto"/>
        <w:rPr>
          <w:rFonts w:ascii="Arial" w:hAnsi="Arial" w:cs="Arial"/>
          <w:color w:val="auto"/>
        </w:rPr>
      </w:pPr>
      <w:bookmarkStart w:id="43" w:name="_Toc286117316"/>
      <w:bookmarkStart w:id="44" w:name="_Toc383769347"/>
      <w:bookmarkStart w:id="45" w:name="_Toc415060212"/>
      <w:r>
        <w:rPr>
          <w:rFonts w:ascii="Arial" w:hAnsi="Arial" w:cs="Arial"/>
          <w:color w:val="auto"/>
        </w:rPr>
        <w:t>Capital expenditure</w:t>
      </w:r>
      <w:bookmarkEnd w:id="43"/>
      <w:bookmarkEnd w:id="44"/>
      <w:bookmarkEnd w:id="45"/>
    </w:p>
    <w:p w:rsidR="00C25BF5" w:rsidRDefault="00C25BF5" w:rsidP="00387B6B">
      <w:pPr>
        <w:spacing w:after="0" w:line="360" w:lineRule="auto"/>
        <w:jc w:val="both"/>
        <w:rPr>
          <w:rFonts w:ascii="Arial" w:hAnsi="Arial" w:cs="Arial"/>
        </w:rPr>
      </w:pPr>
    </w:p>
    <w:p w:rsidR="002F77CC" w:rsidRDefault="00C25BF5" w:rsidP="00387B6B">
      <w:pPr>
        <w:spacing w:after="0" w:line="360" w:lineRule="auto"/>
        <w:jc w:val="both"/>
        <w:rPr>
          <w:rFonts w:ascii="Arial" w:hAnsi="Arial" w:cs="Arial"/>
        </w:rPr>
      </w:pPr>
      <w:r w:rsidRPr="00033C91">
        <w:rPr>
          <w:rFonts w:ascii="Arial" w:hAnsi="Arial" w:cs="Arial"/>
        </w:rPr>
        <w:t>T</w:t>
      </w:r>
      <w:r w:rsidR="00D63F30" w:rsidRPr="00033C91">
        <w:rPr>
          <w:rFonts w:ascii="Arial" w:hAnsi="Arial" w:cs="Arial"/>
        </w:rPr>
        <w:t>he following table</w:t>
      </w:r>
      <w:r w:rsidR="00D63F30">
        <w:rPr>
          <w:rFonts w:ascii="Arial" w:hAnsi="Arial" w:cs="Arial"/>
        </w:rPr>
        <w:t xml:space="preserve"> provides a</w:t>
      </w:r>
      <w:r>
        <w:rPr>
          <w:rFonts w:ascii="Arial" w:hAnsi="Arial" w:cs="Arial"/>
        </w:rPr>
        <w:t xml:space="preserve"> breakdown of budgeted capital expenditure by </w:t>
      </w:r>
      <w:r w:rsidR="00470799">
        <w:rPr>
          <w:rFonts w:ascii="Arial" w:hAnsi="Arial" w:cs="Arial"/>
        </w:rPr>
        <w:t>v</w:t>
      </w:r>
      <w:r w:rsidR="002F77CC">
        <w:rPr>
          <w:rFonts w:ascii="Arial" w:hAnsi="Arial" w:cs="Arial"/>
        </w:rPr>
        <w:t>ote:</w:t>
      </w:r>
      <w:r w:rsidR="008427BE">
        <w:rPr>
          <w:rFonts w:ascii="Arial" w:hAnsi="Arial" w:cs="Arial"/>
        </w:rPr>
        <w:t>-</w:t>
      </w:r>
    </w:p>
    <w:p w:rsidR="00C25BF5" w:rsidRDefault="00C25BF5" w:rsidP="00387B6B">
      <w:pPr>
        <w:pStyle w:val="Heading3"/>
        <w:numPr>
          <w:ilvl w:val="0"/>
          <w:numId w:val="0"/>
        </w:numPr>
        <w:spacing w:line="360" w:lineRule="auto"/>
        <w:rPr>
          <w:rFonts w:ascii="Arial" w:hAnsi="Arial" w:cs="Arial"/>
          <w:color w:val="auto"/>
        </w:rPr>
      </w:pPr>
      <w:bookmarkStart w:id="46" w:name="_Toc287342457"/>
      <w:bookmarkStart w:id="47" w:name="_Toc415060213"/>
      <w:r w:rsidRPr="00703540">
        <w:rPr>
          <w:rFonts w:ascii="Arial" w:hAnsi="Arial" w:cs="Arial"/>
          <w:color w:val="auto"/>
        </w:rPr>
        <w:t xml:space="preserve">Table </w:t>
      </w:r>
      <w:r w:rsidR="00287A64">
        <w:rPr>
          <w:rFonts w:ascii="Arial" w:hAnsi="Arial" w:cs="Arial"/>
          <w:color w:val="auto"/>
        </w:rPr>
        <w:t>6</w:t>
      </w:r>
      <w:r w:rsidR="00304B2E">
        <w:rPr>
          <w:rFonts w:ascii="Arial" w:hAnsi="Arial" w:cs="Arial"/>
          <w:color w:val="auto"/>
        </w:rPr>
        <w:t>:</w:t>
      </w:r>
      <w:r w:rsidR="005B0033" w:rsidRPr="00703540">
        <w:rPr>
          <w:rFonts w:ascii="Arial" w:hAnsi="Arial" w:cs="Arial"/>
          <w:color w:val="auto"/>
        </w:rPr>
        <w:t xml:space="preserve"> </w:t>
      </w:r>
      <w:r w:rsidR="006706E5">
        <w:rPr>
          <w:rFonts w:ascii="Arial" w:hAnsi="Arial" w:cs="Arial"/>
          <w:color w:val="auto"/>
        </w:rPr>
        <w:t>20</w:t>
      </w:r>
      <w:r w:rsidR="000C3940">
        <w:rPr>
          <w:rFonts w:ascii="Arial" w:hAnsi="Arial" w:cs="Arial"/>
          <w:color w:val="auto"/>
        </w:rPr>
        <w:t>20</w:t>
      </w:r>
      <w:r w:rsidR="006706E5">
        <w:rPr>
          <w:rFonts w:ascii="Arial" w:hAnsi="Arial" w:cs="Arial"/>
          <w:color w:val="auto"/>
        </w:rPr>
        <w:t>/</w:t>
      </w:r>
      <w:r w:rsidR="008427BE">
        <w:rPr>
          <w:rFonts w:ascii="Arial" w:hAnsi="Arial" w:cs="Arial"/>
          <w:color w:val="auto"/>
        </w:rPr>
        <w:t>2</w:t>
      </w:r>
      <w:r w:rsidR="000C3940">
        <w:rPr>
          <w:rFonts w:ascii="Arial" w:hAnsi="Arial" w:cs="Arial"/>
          <w:color w:val="auto"/>
        </w:rPr>
        <w:t>1</w:t>
      </w:r>
      <w:r w:rsidRPr="00703540">
        <w:rPr>
          <w:rFonts w:ascii="Arial" w:hAnsi="Arial" w:cs="Arial"/>
          <w:color w:val="auto"/>
        </w:rPr>
        <w:t xml:space="preserve"> Medium-term capital budget per vote</w:t>
      </w:r>
      <w:bookmarkEnd w:id="46"/>
      <w:bookmarkEnd w:id="47"/>
      <w:r w:rsidR="00F24A9A">
        <w:rPr>
          <w:rFonts w:ascii="Arial" w:hAnsi="Arial" w:cs="Arial"/>
          <w:color w:val="auto"/>
        </w:rPr>
        <w:t>:</w:t>
      </w:r>
      <w:r w:rsidR="00660083">
        <w:rPr>
          <w:rFonts w:ascii="Arial" w:hAnsi="Arial" w:cs="Arial"/>
          <w:color w:val="auto"/>
        </w:rPr>
        <w:t>-</w:t>
      </w:r>
      <w:r w:rsidR="00F24A9A">
        <w:rPr>
          <w:rFonts w:ascii="Arial" w:hAnsi="Arial" w:cs="Arial"/>
          <w:color w:val="auto"/>
        </w:rPr>
        <w:t xml:space="preserve"> </w:t>
      </w:r>
    </w:p>
    <w:p w:rsidR="000C3940" w:rsidRDefault="006678CD" w:rsidP="00387B6B">
      <w:pPr>
        <w:spacing w:after="0" w:line="360" w:lineRule="auto"/>
        <w:jc w:val="both"/>
        <w:rPr>
          <w:rFonts w:ascii="Arial" w:hAnsi="Arial" w:cs="Arial"/>
        </w:rPr>
      </w:pPr>
      <w:r w:rsidRPr="006678CD">
        <w:rPr>
          <w:noProof/>
          <w:lang w:val="en-US" w:eastAsia="en-US"/>
        </w:rPr>
        <w:drawing>
          <wp:inline distT="0" distB="0" distL="0" distR="0">
            <wp:extent cx="6256096" cy="38709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8785" cy="3872624"/>
                    </a:xfrm>
                    <a:prstGeom prst="rect">
                      <a:avLst/>
                    </a:prstGeom>
                    <a:noFill/>
                    <a:ln>
                      <a:noFill/>
                    </a:ln>
                  </pic:spPr>
                </pic:pic>
              </a:graphicData>
            </a:graphic>
          </wp:inline>
        </w:drawing>
      </w:r>
    </w:p>
    <w:p w:rsidR="003F50A3" w:rsidRDefault="003F50A3" w:rsidP="00387B6B">
      <w:pPr>
        <w:spacing w:after="0" w:line="360" w:lineRule="auto"/>
        <w:jc w:val="both"/>
        <w:rPr>
          <w:rFonts w:ascii="Arial" w:hAnsi="Arial" w:cs="Arial"/>
        </w:rPr>
      </w:pPr>
    </w:p>
    <w:p w:rsidR="00A11C92" w:rsidRDefault="002F77CC" w:rsidP="00387B6B">
      <w:pPr>
        <w:spacing w:after="0" w:line="360" w:lineRule="auto"/>
        <w:jc w:val="both"/>
        <w:rPr>
          <w:rFonts w:ascii="Arial" w:hAnsi="Arial" w:cs="Arial"/>
        </w:rPr>
      </w:pPr>
      <w:r w:rsidRPr="005C2419">
        <w:rPr>
          <w:rFonts w:ascii="Arial" w:hAnsi="Arial" w:cs="Arial"/>
        </w:rPr>
        <w:t xml:space="preserve">For </w:t>
      </w:r>
      <w:r w:rsidR="006706E5" w:rsidRPr="005C2419">
        <w:rPr>
          <w:rFonts w:ascii="Arial" w:hAnsi="Arial" w:cs="Arial"/>
        </w:rPr>
        <w:t>20</w:t>
      </w:r>
      <w:r w:rsidR="00033C91">
        <w:rPr>
          <w:rFonts w:ascii="Arial" w:hAnsi="Arial" w:cs="Arial"/>
        </w:rPr>
        <w:t>20</w:t>
      </w:r>
      <w:r w:rsidR="006706E5" w:rsidRPr="005C2419">
        <w:rPr>
          <w:rFonts w:ascii="Arial" w:hAnsi="Arial" w:cs="Arial"/>
        </w:rPr>
        <w:t>/</w:t>
      </w:r>
      <w:r w:rsidR="0070744D">
        <w:rPr>
          <w:rFonts w:ascii="Arial" w:hAnsi="Arial" w:cs="Arial"/>
        </w:rPr>
        <w:t>2</w:t>
      </w:r>
      <w:r w:rsidR="00033C91">
        <w:rPr>
          <w:rFonts w:ascii="Arial" w:hAnsi="Arial" w:cs="Arial"/>
        </w:rPr>
        <w:t>1</w:t>
      </w:r>
      <w:r w:rsidRPr="005C2419">
        <w:rPr>
          <w:rFonts w:ascii="Arial" w:hAnsi="Arial" w:cs="Arial"/>
        </w:rPr>
        <w:t xml:space="preserve"> an amount</w:t>
      </w:r>
      <w:r w:rsidRPr="00C90AD9">
        <w:rPr>
          <w:rFonts w:ascii="Arial" w:hAnsi="Arial" w:cs="Arial"/>
        </w:rPr>
        <w:t xml:space="preserve"> of </w:t>
      </w:r>
      <w:r w:rsidRPr="00A424F5">
        <w:rPr>
          <w:rFonts w:ascii="Arial" w:hAnsi="Arial" w:cs="Arial"/>
        </w:rPr>
        <w:t>R</w:t>
      </w:r>
      <w:r w:rsidR="00304B2E">
        <w:rPr>
          <w:rFonts w:ascii="Arial" w:hAnsi="Arial" w:cs="Arial"/>
        </w:rPr>
        <w:t xml:space="preserve"> </w:t>
      </w:r>
      <w:r w:rsidR="002D20AA" w:rsidRPr="00304B2E">
        <w:rPr>
          <w:rFonts w:ascii="Arial" w:hAnsi="Arial" w:cs="Arial"/>
        </w:rPr>
        <w:t>6</w:t>
      </w:r>
      <w:r w:rsidR="00033C91">
        <w:rPr>
          <w:rFonts w:ascii="Arial" w:hAnsi="Arial" w:cs="Arial"/>
        </w:rPr>
        <w:t>20</w:t>
      </w:r>
      <w:r w:rsidR="002D20AA" w:rsidRPr="00304B2E">
        <w:rPr>
          <w:rFonts w:ascii="Arial" w:hAnsi="Arial" w:cs="Arial"/>
        </w:rPr>
        <w:t>.</w:t>
      </w:r>
      <w:r w:rsidR="00033C91">
        <w:rPr>
          <w:rFonts w:ascii="Arial" w:hAnsi="Arial" w:cs="Arial"/>
        </w:rPr>
        <w:t>5</w:t>
      </w:r>
      <w:r w:rsidRPr="0070744D">
        <w:rPr>
          <w:rFonts w:ascii="Arial" w:hAnsi="Arial" w:cs="Arial"/>
          <w:color w:val="FF0000"/>
        </w:rPr>
        <w:t xml:space="preserve"> </w:t>
      </w:r>
      <w:r w:rsidR="0093659B" w:rsidRPr="00A424F5">
        <w:rPr>
          <w:rFonts w:ascii="Arial" w:hAnsi="Arial" w:cs="Arial"/>
        </w:rPr>
        <w:t>m</w:t>
      </w:r>
      <w:r w:rsidRPr="00A424F5">
        <w:rPr>
          <w:rFonts w:ascii="Arial" w:hAnsi="Arial" w:cs="Arial"/>
        </w:rPr>
        <w:t xml:space="preserve">illion has been appropriated for the development of infrastructure which represents </w:t>
      </w:r>
      <w:r w:rsidR="00033C91">
        <w:rPr>
          <w:rFonts w:ascii="Arial" w:hAnsi="Arial" w:cs="Arial"/>
        </w:rPr>
        <w:t xml:space="preserve">100 </w:t>
      </w:r>
      <w:r w:rsidR="00660083" w:rsidRPr="00A424F5">
        <w:rPr>
          <w:rFonts w:ascii="Arial" w:hAnsi="Arial" w:cs="Arial"/>
        </w:rPr>
        <w:t>%</w:t>
      </w:r>
      <w:r w:rsidRPr="00A424F5">
        <w:rPr>
          <w:rFonts w:ascii="Arial" w:hAnsi="Arial" w:cs="Arial"/>
        </w:rPr>
        <w:t xml:space="preserve"> of the total capital budget. </w:t>
      </w:r>
      <w:r w:rsidR="00470799" w:rsidRPr="00A424F5">
        <w:rPr>
          <w:rFonts w:ascii="Arial" w:hAnsi="Arial" w:cs="Arial"/>
        </w:rPr>
        <w:t xml:space="preserve"> </w:t>
      </w:r>
      <w:r w:rsidRPr="00A424F5">
        <w:rPr>
          <w:rFonts w:ascii="Arial" w:hAnsi="Arial" w:cs="Arial"/>
        </w:rPr>
        <w:t xml:space="preserve">In the outer years this amount totals </w:t>
      </w:r>
      <w:r w:rsidR="008C0E9B">
        <w:rPr>
          <w:rFonts w:ascii="Arial" w:hAnsi="Arial" w:cs="Arial"/>
        </w:rPr>
        <w:t xml:space="preserve">to </w:t>
      </w:r>
      <w:r w:rsidRPr="00A424F5">
        <w:rPr>
          <w:rFonts w:ascii="Arial" w:hAnsi="Arial" w:cs="Arial"/>
        </w:rPr>
        <w:t>R</w:t>
      </w:r>
      <w:r w:rsidR="002D20AA">
        <w:rPr>
          <w:rFonts w:ascii="Arial" w:hAnsi="Arial" w:cs="Arial"/>
        </w:rPr>
        <w:t xml:space="preserve"> </w:t>
      </w:r>
      <w:r w:rsidR="00033C91">
        <w:rPr>
          <w:rFonts w:ascii="Arial" w:hAnsi="Arial" w:cs="Arial"/>
        </w:rPr>
        <w:t>5</w:t>
      </w:r>
      <w:r w:rsidR="00304B2E">
        <w:rPr>
          <w:rFonts w:ascii="Arial" w:hAnsi="Arial" w:cs="Arial"/>
        </w:rPr>
        <w:t>6</w:t>
      </w:r>
      <w:r w:rsidR="00033C91">
        <w:rPr>
          <w:rFonts w:ascii="Arial" w:hAnsi="Arial" w:cs="Arial"/>
        </w:rPr>
        <w:t>9</w:t>
      </w:r>
      <w:r w:rsidR="002D20AA" w:rsidRPr="00304B2E">
        <w:rPr>
          <w:rFonts w:ascii="Arial" w:hAnsi="Arial" w:cs="Arial"/>
        </w:rPr>
        <w:t>.</w:t>
      </w:r>
      <w:r w:rsidR="00033C91">
        <w:rPr>
          <w:rFonts w:ascii="Arial" w:hAnsi="Arial" w:cs="Arial"/>
        </w:rPr>
        <w:t>6</w:t>
      </w:r>
      <w:r w:rsidR="00CF22C2" w:rsidRPr="0070744D">
        <w:rPr>
          <w:rFonts w:ascii="Arial" w:hAnsi="Arial" w:cs="Arial"/>
          <w:color w:val="FF0000"/>
        </w:rPr>
        <w:t xml:space="preserve"> </w:t>
      </w:r>
      <w:r w:rsidR="00CF22C2" w:rsidRPr="00A424F5">
        <w:rPr>
          <w:rFonts w:ascii="Arial" w:hAnsi="Arial" w:cs="Arial"/>
        </w:rPr>
        <w:t>m</w:t>
      </w:r>
      <w:r w:rsidR="008C0E9B">
        <w:rPr>
          <w:rFonts w:ascii="Arial" w:hAnsi="Arial" w:cs="Arial"/>
        </w:rPr>
        <w:t xml:space="preserve">illion </w:t>
      </w:r>
      <w:r w:rsidRPr="00A424F5">
        <w:rPr>
          <w:rFonts w:ascii="Arial" w:hAnsi="Arial" w:cs="Arial"/>
        </w:rPr>
        <w:t>and R</w:t>
      </w:r>
      <w:r w:rsidR="002D20AA">
        <w:rPr>
          <w:rFonts w:ascii="Arial" w:hAnsi="Arial" w:cs="Arial"/>
        </w:rPr>
        <w:t xml:space="preserve"> </w:t>
      </w:r>
      <w:r w:rsidR="00033C91">
        <w:rPr>
          <w:rFonts w:ascii="Arial" w:hAnsi="Arial" w:cs="Arial"/>
        </w:rPr>
        <w:t>4</w:t>
      </w:r>
      <w:r w:rsidR="00304B2E">
        <w:rPr>
          <w:rFonts w:ascii="Arial" w:hAnsi="Arial" w:cs="Arial"/>
        </w:rPr>
        <w:t>8</w:t>
      </w:r>
      <w:r w:rsidR="00033C91">
        <w:rPr>
          <w:rFonts w:ascii="Arial" w:hAnsi="Arial" w:cs="Arial"/>
        </w:rPr>
        <w:t>1</w:t>
      </w:r>
      <w:r w:rsidR="002D20AA" w:rsidRPr="00304B2E">
        <w:rPr>
          <w:rFonts w:ascii="Arial" w:hAnsi="Arial" w:cs="Arial"/>
        </w:rPr>
        <w:t>.</w:t>
      </w:r>
      <w:r w:rsidR="00033C91">
        <w:rPr>
          <w:rFonts w:ascii="Arial" w:hAnsi="Arial" w:cs="Arial"/>
        </w:rPr>
        <w:t>9</w:t>
      </w:r>
      <w:r w:rsidRPr="0070744D">
        <w:rPr>
          <w:rFonts w:ascii="Arial" w:hAnsi="Arial" w:cs="Arial"/>
          <w:color w:val="FF0000"/>
        </w:rPr>
        <w:t xml:space="preserve"> </w:t>
      </w:r>
      <w:r w:rsidR="00CF22C2" w:rsidRPr="00A424F5">
        <w:rPr>
          <w:rFonts w:ascii="Arial" w:hAnsi="Arial" w:cs="Arial"/>
        </w:rPr>
        <w:t>m</w:t>
      </w:r>
      <w:r w:rsidRPr="00A424F5">
        <w:rPr>
          <w:rFonts w:ascii="Arial" w:hAnsi="Arial" w:cs="Arial"/>
        </w:rPr>
        <w:t>illion</w:t>
      </w:r>
      <w:r w:rsidR="00033C91">
        <w:rPr>
          <w:rFonts w:ascii="Arial" w:hAnsi="Arial" w:cs="Arial"/>
        </w:rPr>
        <w:t xml:space="preserve"> </w:t>
      </w:r>
      <w:r w:rsidRPr="00A424F5">
        <w:rPr>
          <w:rFonts w:ascii="Arial" w:hAnsi="Arial" w:cs="Arial"/>
        </w:rPr>
        <w:t>respectively</w:t>
      </w:r>
      <w:r w:rsidR="00D3187C" w:rsidRPr="00A424F5">
        <w:rPr>
          <w:rFonts w:ascii="Arial" w:hAnsi="Arial" w:cs="Arial"/>
        </w:rPr>
        <w:t>.</w:t>
      </w:r>
      <w:r w:rsidRPr="00A424F5">
        <w:rPr>
          <w:rFonts w:ascii="Arial" w:hAnsi="Arial" w:cs="Arial"/>
        </w:rPr>
        <w:t xml:space="preserve"> </w:t>
      </w:r>
      <w:r w:rsidR="00470799" w:rsidRPr="00A424F5">
        <w:rPr>
          <w:rFonts w:ascii="Arial" w:hAnsi="Arial" w:cs="Arial"/>
        </w:rPr>
        <w:t xml:space="preserve"> </w:t>
      </w:r>
      <w:r w:rsidR="005C2419">
        <w:rPr>
          <w:rFonts w:ascii="Arial" w:hAnsi="Arial" w:cs="Arial"/>
        </w:rPr>
        <w:t xml:space="preserve">The </w:t>
      </w:r>
      <w:r w:rsidR="00CF22C2" w:rsidRPr="00A424F5">
        <w:rPr>
          <w:rFonts w:ascii="Arial" w:hAnsi="Arial" w:cs="Arial"/>
        </w:rPr>
        <w:t xml:space="preserve">municipality </w:t>
      </w:r>
      <w:r w:rsidR="00CF22C2">
        <w:rPr>
          <w:rFonts w:ascii="Arial" w:hAnsi="Arial" w:cs="Arial"/>
        </w:rPr>
        <w:t xml:space="preserve">provides water and sanitation services and currently has service delivery backlogs and infrastructure backlogs hence the capital funding is never sufficient to eradicate the backlogs. It is therefore essential for the municipality to explore and enhance the own revenue </w:t>
      </w:r>
      <w:r w:rsidR="002A3BE2">
        <w:rPr>
          <w:rFonts w:ascii="Arial" w:hAnsi="Arial" w:cs="Arial"/>
        </w:rPr>
        <w:t>capabilities to</w:t>
      </w:r>
      <w:r w:rsidR="00922E41">
        <w:rPr>
          <w:rFonts w:ascii="Arial" w:hAnsi="Arial" w:cs="Arial"/>
        </w:rPr>
        <w:t xml:space="preserve"> contribute </w:t>
      </w:r>
      <w:r w:rsidR="00033C91">
        <w:rPr>
          <w:rFonts w:ascii="Arial" w:hAnsi="Arial" w:cs="Arial"/>
        </w:rPr>
        <w:t>t</w:t>
      </w:r>
      <w:r w:rsidR="00922E41">
        <w:rPr>
          <w:rFonts w:ascii="Arial" w:hAnsi="Arial" w:cs="Arial"/>
        </w:rPr>
        <w:t>o</w:t>
      </w:r>
      <w:r w:rsidR="00033C91">
        <w:rPr>
          <w:rFonts w:ascii="Arial" w:hAnsi="Arial" w:cs="Arial"/>
        </w:rPr>
        <w:t xml:space="preserve"> </w:t>
      </w:r>
      <w:r w:rsidR="00922E41">
        <w:rPr>
          <w:rFonts w:ascii="Arial" w:hAnsi="Arial" w:cs="Arial"/>
        </w:rPr>
        <w:t>the improvement of infrastructure</w:t>
      </w:r>
      <w:r w:rsidR="00CF22C2">
        <w:rPr>
          <w:rFonts w:ascii="Arial" w:hAnsi="Arial" w:cs="Arial"/>
        </w:rPr>
        <w:t>.</w:t>
      </w:r>
      <w:r w:rsidR="00922E41">
        <w:rPr>
          <w:rFonts w:ascii="Arial" w:hAnsi="Arial" w:cs="Arial"/>
        </w:rPr>
        <w:t xml:space="preserve"> </w:t>
      </w:r>
    </w:p>
    <w:p w:rsidR="00CD4D7B" w:rsidRDefault="00CD4D7B" w:rsidP="00033C91">
      <w:pPr>
        <w:pStyle w:val="Heading2"/>
        <w:numPr>
          <w:ilvl w:val="0"/>
          <w:numId w:val="0"/>
        </w:numPr>
        <w:spacing w:line="360" w:lineRule="auto"/>
        <w:ind w:left="576" w:hanging="576"/>
        <w:rPr>
          <w:rFonts w:ascii="Arial" w:hAnsi="Arial" w:cs="Arial"/>
          <w:color w:val="auto"/>
        </w:rPr>
      </w:pPr>
      <w:bookmarkStart w:id="48" w:name="_Toc286034100"/>
      <w:bookmarkStart w:id="49" w:name="_Toc286034691"/>
      <w:bookmarkStart w:id="50" w:name="_Toc286041437"/>
      <w:bookmarkStart w:id="51" w:name="_Toc286041506"/>
      <w:bookmarkStart w:id="52" w:name="_Toc286117317"/>
      <w:bookmarkStart w:id="53" w:name="_Toc383769348"/>
      <w:bookmarkStart w:id="54" w:name="_Toc415060214"/>
      <w:r w:rsidRPr="00401E72">
        <w:rPr>
          <w:rFonts w:ascii="Arial" w:hAnsi="Arial" w:cs="Arial"/>
          <w:color w:val="000000" w:themeColor="text1"/>
        </w:rPr>
        <w:t xml:space="preserve">Annual Budget Tables </w:t>
      </w:r>
      <w:r w:rsidRPr="00946012">
        <w:rPr>
          <w:rFonts w:ascii="Arial" w:hAnsi="Arial" w:cs="Arial"/>
          <w:color w:val="auto"/>
        </w:rPr>
        <w:t>- Parent Municipality</w:t>
      </w:r>
      <w:bookmarkEnd w:id="48"/>
      <w:bookmarkEnd w:id="49"/>
      <w:bookmarkEnd w:id="50"/>
      <w:bookmarkEnd w:id="51"/>
      <w:bookmarkEnd w:id="52"/>
      <w:bookmarkEnd w:id="53"/>
      <w:bookmarkEnd w:id="54"/>
    </w:p>
    <w:p w:rsidR="0084642C" w:rsidRPr="0084642C" w:rsidRDefault="0084642C" w:rsidP="00387B6B">
      <w:pPr>
        <w:keepNext/>
        <w:keepLines/>
        <w:spacing w:after="0" w:line="360" w:lineRule="auto"/>
        <w:jc w:val="both"/>
        <w:rPr>
          <w:rFonts w:ascii="Arial" w:hAnsi="Arial" w:cs="Arial"/>
        </w:rPr>
      </w:pPr>
    </w:p>
    <w:p w:rsidR="00526DBA" w:rsidRDefault="007103F0" w:rsidP="00387B6B">
      <w:pPr>
        <w:spacing w:after="0" w:line="360" w:lineRule="auto"/>
        <w:jc w:val="both"/>
        <w:rPr>
          <w:rFonts w:ascii="Arial" w:hAnsi="Arial" w:cs="Arial"/>
        </w:rPr>
      </w:pPr>
      <w:r>
        <w:rPr>
          <w:rFonts w:ascii="Arial" w:hAnsi="Arial" w:cs="Arial"/>
        </w:rPr>
        <w:t xml:space="preserve">The following pages </w:t>
      </w:r>
      <w:r w:rsidR="00D83EF0">
        <w:rPr>
          <w:rFonts w:ascii="Arial" w:hAnsi="Arial" w:cs="Arial"/>
        </w:rPr>
        <w:t xml:space="preserve">present the </w:t>
      </w:r>
      <w:r>
        <w:rPr>
          <w:rFonts w:ascii="Arial" w:hAnsi="Arial" w:cs="Arial"/>
        </w:rPr>
        <w:t xml:space="preserve">main budget tables as required in terms of section 8 of the Municipal Budget and Reporting Regulations. These tables set out the municipality’s </w:t>
      </w:r>
      <w:r w:rsidR="006706E5">
        <w:rPr>
          <w:rFonts w:ascii="Arial" w:hAnsi="Arial" w:cs="Arial"/>
        </w:rPr>
        <w:t>20</w:t>
      </w:r>
      <w:r w:rsidR="003B770C">
        <w:rPr>
          <w:rFonts w:ascii="Arial" w:hAnsi="Arial" w:cs="Arial"/>
        </w:rPr>
        <w:t>20</w:t>
      </w:r>
      <w:r w:rsidR="006706E5">
        <w:rPr>
          <w:rFonts w:ascii="Arial" w:hAnsi="Arial" w:cs="Arial"/>
        </w:rPr>
        <w:t>/</w:t>
      </w:r>
      <w:r w:rsidR="0070744D">
        <w:rPr>
          <w:rFonts w:ascii="Arial" w:hAnsi="Arial" w:cs="Arial"/>
        </w:rPr>
        <w:t>2</w:t>
      </w:r>
      <w:r w:rsidR="003B770C">
        <w:rPr>
          <w:rFonts w:ascii="Arial" w:hAnsi="Arial" w:cs="Arial"/>
        </w:rPr>
        <w:t>1</w:t>
      </w:r>
      <w:r>
        <w:rPr>
          <w:rFonts w:ascii="Arial" w:hAnsi="Arial" w:cs="Arial"/>
        </w:rPr>
        <w:t xml:space="preserve"> budget and MTREF as </w:t>
      </w:r>
      <w:r w:rsidR="00AE06E4">
        <w:rPr>
          <w:rFonts w:ascii="Arial" w:hAnsi="Arial" w:cs="Arial"/>
        </w:rPr>
        <w:t xml:space="preserve">tabled before </w:t>
      </w:r>
      <w:r>
        <w:rPr>
          <w:rFonts w:ascii="Arial" w:hAnsi="Arial" w:cs="Arial"/>
        </w:rPr>
        <w:t>Council.</w:t>
      </w:r>
      <w:r w:rsidR="00470799">
        <w:rPr>
          <w:rFonts w:ascii="Arial" w:hAnsi="Arial" w:cs="Arial"/>
        </w:rPr>
        <w:t xml:space="preserve"> Each table is accompanied by </w:t>
      </w:r>
      <w:r w:rsidR="00470799" w:rsidRPr="00470799">
        <w:rPr>
          <w:rFonts w:ascii="Arial" w:hAnsi="Arial" w:cs="Arial"/>
          <w:i/>
        </w:rPr>
        <w:t>explanatory notes</w:t>
      </w:r>
      <w:r w:rsidR="00470799">
        <w:rPr>
          <w:rFonts w:ascii="Arial" w:hAnsi="Arial" w:cs="Arial"/>
        </w:rPr>
        <w:t>.</w:t>
      </w:r>
      <w:bookmarkStart w:id="55" w:name="_Toc287342458"/>
      <w:r w:rsidR="00DD55A2">
        <w:rPr>
          <w:rFonts w:ascii="Arial" w:hAnsi="Arial" w:cs="Arial"/>
        </w:rPr>
        <w:t xml:space="preserve"> </w:t>
      </w:r>
    </w:p>
    <w:p w:rsidR="00A52663" w:rsidRDefault="00A52663"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2D20AA" w:rsidRDefault="002D20AA" w:rsidP="00387B6B">
      <w:pPr>
        <w:spacing w:after="0" w:line="360" w:lineRule="auto"/>
        <w:jc w:val="both"/>
        <w:rPr>
          <w:rFonts w:ascii="Arial" w:hAnsi="Arial" w:cs="Arial"/>
          <w:b/>
        </w:rPr>
      </w:pPr>
    </w:p>
    <w:p w:rsidR="005324D4" w:rsidRDefault="005324D4" w:rsidP="00387B6B">
      <w:pPr>
        <w:spacing w:after="0" w:line="360" w:lineRule="auto"/>
        <w:jc w:val="both"/>
        <w:rPr>
          <w:rFonts w:ascii="Arial" w:hAnsi="Arial" w:cs="Arial"/>
          <w:i/>
          <w:color w:val="FF0000"/>
        </w:rPr>
      </w:pPr>
      <w:r w:rsidRPr="005324D4">
        <w:rPr>
          <w:rFonts w:ascii="Arial" w:hAnsi="Arial" w:cs="Arial"/>
          <w:b/>
        </w:rPr>
        <w:t xml:space="preserve">Table </w:t>
      </w:r>
      <w:r w:rsidR="00287A64">
        <w:rPr>
          <w:rFonts w:ascii="Arial" w:hAnsi="Arial" w:cs="Arial"/>
          <w:b/>
        </w:rPr>
        <w:t>7</w:t>
      </w:r>
      <w:r w:rsidRPr="005324D4">
        <w:rPr>
          <w:rFonts w:ascii="Arial" w:hAnsi="Arial" w:cs="Arial"/>
          <w:b/>
        </w:rPr>
        <w:t xml:space="preserve"> MBRR Table A1 - Budget Summary</w:t>
      </w:r>
      <w:r w:rsidR="00F24A9A">
        <w:rPr>
          <w:rFonts w:ascii="Arial" w:hAnsi="Arial" w:cs="Arial"/>
          <w:b/>
        </w:rPr>
        <w:t>:</w:t>
      </w:r>
      <w:r w:rsidR="00427FE8">
        <w:rPr>
          <w:rFonts w:ascii="Arial" w:hAnsi="Arial" w:cs="Arial"/>
          <w:b/>
        </w:rPr>
        <w:t xml:space="preserve">- </w:t>
      </w:r>
    </w:p>
    <w:p w:rsidR="00576ABA" w:rsidRPr="00526DBA" w:rsidRDefault="00167165" w:rsidP="00387B6B">
      <w:pPr>
        <w:spacing w:after="0" w:line="360" w:lineRule="auto"/>
        <w:jc w:val="both"/>
        <w:rPr>
          <w:rFonts w:ascii="Arial" w:hAnsi="Arial" w:cs="Arial"/>
          <w:color w:val="FF0000"/>
        </w:rPr>
      </w:pPr>
      <w:r w:rsidRPr="00167165">
        <w:rPr>
          <w:noProof/>
          <w:lang w:val="en-US" w:eastAsia="en-US"/>
        </w:rPr>
        <w:drawing>
          <wp:inline distT="0" distB="0" distL="0" distR="0">
            <wp:extent cx="6367050" cy="3733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72227" cy="3736836"/>
                    </a:xfrm>
                    <a:prstGeom prst="rect">
                      <a:avLst/>
                    </a:prstGeom>
                    <a:noFill/>
                    <a:ln>
                      <a:noFill/>
                    </a:ln>
                  </pic:spPr>
                </pic:pic>
              </a:graphicData>
            </a:graphic>
          </wp:inline>
        </w:drawing>
      </w:r>
    </w:p>
    <w:bookmarkEnd w:id="55"/>
    <w:p w:rsidR="00576ABA" w:rsidRDefault="00576ABA" w:rsidP="00387B6B">
      <w:pPr>
        <w:spacing w:after="0" w:line="360" w:lineRule="auto"/>
        <w:jc w:val="both"/>
        <w:rPr>
          <w:rFonts w:ascii="Arial" w:hAnsi="Arial" w:cs="Arial"/>
          <w:b/>
        </w:rPr>
      </w:pPr>
    </w:p>
    <w:p w:rsidR="00576ABA" w:rsidRDefault="00470799" w:rsidP="00387B6B">
      <w:pPr>
        <w:spacing w:after="0" w:line="360" w:lineRule="auto"/>
        <w:jc w:val="both"/>
        <w:rPr>
          <w:rFonts w:ascii="Arial" w:hAnsi="Arial" w:cs="Arial"/>
          <w:b/>
        </w:rPr>
      </w:pPr>
      <w:r w:rsidRPr="00F2274E">
        <w:rPr>
          <w:rFonts w:ascii="Arial" w:hAnsi="Arial" w:cs="Arial"/>
          <w:b/>
        </w:rPr>
        <w:t>Explanatory notes to MBRR Table A1 - Budget Summary</w:t>
      </w:r>
    </w:p>
    <w:p w:rsidR="00470799" w:rsidRPr="00470799" w:rsidRDefault="00470799" w:rsidP="00387B6B">
      <w:pPr>
        <w:spacing w:after="0" w:line="360" w:lineRule="auto"/>
        <w:jc w:val="both"/>
        <w:rPr>
          <w:rFonts w:ascii="Arial" w:hAnsi="Arial" w:cs="Arial"/>
          <w:b/>
        </w:rPr>
      </w:pPr>
      <w:r w:rsidRPr="00470799">
        <w:rPr>
          <w:rFonts w:ascii="Arial" w:hAnsi="Arial" w:cs="Arial"/>
          <w:b/>
        </w:rPr>
        <w:t xml:space="preserve"> </w:t>
      </w:r>
    </w:p>
    <w:p w:rsidR="00855417" w:rsidRPr="00855417" w:rsidRDefault="00FA7FA9" w:rsidP="00387B6B">
      <w:pPr>
        <w:pStyle w:val="ListParagraph"/>
        <w:numPr>
          <w:ilvl w:val="0"/>
          <w:numId w:val="16"/>
        </w:numPr>
        <w:spacing w:after="0" w:line="360" w:lineRule="auto"/>
        <w:jc w:val="both"/>
        <w:rPr>
          <w:rFonts w:ascii="Arial" w:hAnsi="Arial" w:cs="Arial"/>
        </w:rPr>
      </w:pPr>
      <w:r w:rsidRPr="00855417">
        <w:rPr>
          <w:rFonts w:ascii="Arial" w:hAnsi="Arial" w:cs="Arial"/>
        </w:rPr>
        <w:t xml:space="preserve">Table A1 is a budget summary and provides a concise overview of the </w:t>
      </w:r>
      <w:r w:rsidR="00A52663">
        <w:rPr>
          <w:rFonts w:ascii="Arial" w:hAnsi="Arial" w:cs="Arial"/>
        </w:rPr>
        <w:t>m</w:t>
      </w:r>
      <w:r w:rsidR="00986A2C">
        <w:rPr>
          <w:rFonts w:ascii="Arial" w:hAnsi="Arial" w:cs="Arial"/>
        </w:rPr>
        <w:t>unicipality</w:t>
      </w:r>
      <w:r w:rsidRPr="00855417">
        <w:rPr>
          <w:rFonts w:ascii="Arial" w:hAnsi="Arial" w:cs="Arial"/>
        </w:rPr>
        <w:t xml:space="preserve"> budget from all of the major financial p</w:t>
      </w:r>
      <w:r w:rsidR="00AE06E4">
        <w:rPr>
          <w:rFonts w:ascii="Arial" w:hAnsi="Arial" w:cs="Arial"/>
        </w:rPr>
        <w:t>erspectives (operating, capital</w:t>
      </w:r>
      <w:r w:rsidRPr="00855417">
        <w:rPr>
          <w:rFonts w:ascii="Arial" w:hAnsi="Arial" w:cs="Arial"/>
        </w:rPr>
        <w:t xml:space="preserve">, financial position, cash flow, and MFMA funding compliance). </w:t>
      </w:r>
    </w:p>
    <w:p w:rsidR="00FA7FA9" w:rsidRPr="00855417" w:rsidRDefault="00FA7FA9" w:rsidP="00387B6B">
      <w:pPr>
        <w:pStyle w:val="ListParagraph"/>
        <w:numPr>
          <w:ilvl w:val="0"/>
          <w:numId w:val="16"/>
        </w:numPr>
        <w:spacing w:after="0" w:line="360" w:lineRule="auto"/>
        <w:jc w:val="both"/>
        <w:rPr>
          <w:rFonts w:ascii="Arial" w:hAnsi="Arial" w:cs="Arial"/>
        </w:rPr>
      </w:pPr>
      <w:r w:rsidRPr="00855417">
        <w:rPr>
          <w:rFonts w:ascii="Arial" w:hAnsi="Arial" w:cs="Arial"/>
        </w:rPr>
        <w:t xml:space="preserve">The table </w:t>
      </w:r>
      <w:r w:rsidR="00855417" w:rsidRPr="00855417">
        <w:rPr>
          <w:rFonts w:ascii="Arial" w:hAnsi="Arial" w:cs="Arial"/>
        </w:rPr>
        <w:t xml:space="preserve">provides an overview of the amounts approved by Council for </w:t>
      </w:r>
      <w:r w:rsidRPr="00855417">
        <w:rPr>
          <w:rFonts w:ascii="Arial" w:hAnsi="Arial" w:cs="Arial"/>
        </w:rPr>
        <w:t>operating performance, resources deployed to capital expenditure, financial position, cash and funding compliance, as well as the municipality’s commitment to eliminat</w:t>
      </w:r>
      <w:r w:rsidR="00BE052B">
        <w:rPr>
          <w:rFonts w:ascii="Arial" w:hAnsi="Arial" w:cs="Arial"/>
        </w:rPr>
        <w:t>e</w:t>
      </w:r>
      <w:r w:rsidRPr="00855417">
        <w:rPr>
          <w:rFonts w:ascii="Arial" w:hAnsi="Arial" w:cs="Arial"/>
        </w:rPr>
        <w:t xml:space="preserve"> basic service delivery backlogs.</w:t>
      </w:r>
    </w:p>
    <w:p w:rsidR="00543267" w:rsidRDefault="00FA7FA9" w:rsidP="00387B6B">
      <w:pPr>
        <w:pStyle w:val="ListParagraph"/>
        <w:numPr>
          <w:ilvl w:val="0"/>
          <w:numId w:val="16"/>
        </w:numPr>
        <w:spacing w:after="0" w:line="360" w:lineRule="auto"/>
        <w:jc w:val="both"/>
        <w:rPr>
          <w:rFonts w:ascii="Arial" w:hAnsi="Arial" w:cs="Arial"/>
        </w:rPr>
      </w:pPr>
      <w:r w:rsidRPr="00855417">
        <w:rPr>
          <w:rFonts w:ascii="Arial" w:hAnsi="Arial" w:cs="Arial"/>
        </w:rPr>
        <w:t>Financial management reform</w:t>
      </w:r>
      <w:r w:rsidR="00855417">
        <w:rPr>
          <w:rFonts w:ascii="Arial" w:hAnsi="Arial" w:cs="Arial"/>
        </w:rPr>
        <w:t>s</w:t>
      </w:r>
      <w:r w:rsidRPr="00855417">
        <w:rPr>
          <w:rFonts w:ascii="Arial" w:hAnsi="Arial" w:cs="Arial"/>
        </w:rPr>
        <w:t xml:space="preserve"> </w:t>
      </w:r>
      <w:r w:rsidR="00855417">
        <w:rPr>
          <w:rFonts w:ascii="Arial" w:hAnsi="Arial" w:cs="Arial"/>
        </w:rPr>
        <w:t xml:space="preserve">emphasises the importance of the municipal budget being funded. This requires the simultaneous assessment of the </w:t>
      </w:r>
      <w:r w:rsidR="00855417" w:rsidRPr="00855417">
        <w:rPr>
          <w:rFonts w:ascii="Arial" w:hAnsi="Arial" w:cs="Arial"/>
        </w:rPr>
        <w:t>Financial Performance, Financial Position and Cash Flow Budgets</w:t>
      </w:r>
      <w:r w:rsidR="00855417">
        <w:rPr>
          <w:rFonts w:ascii="Arial" w:hAnsi="Arial" w:cs="Arial"/>
        </w:rPr>
        <w:t>, along with the Capital Budget</w:t>
      </w:r>
      <w:r w:rsidR="00855417" w:rsidRPr="00855417">
        <w:rPr>
          <w:rFonts w:ascii="Arial" w:hAnsi="Arial" w:cs="Arial"/>
        </w:rPr>
        <w:t>.</w:t>
      </w:r>
      <w:r w:rsidRPr="00855417">
        <w:rPr>
          <w:rFonts w:ascii="Arial" w:hAnsi="Arial" w:cs="Arial"/>
        </w:rPr>
        <w:t xml:space="preserve"> The Budget Summary provides </w:t>
      </w:r>
      <w:r w:rsidR="00543267">
        <w:rPr>
          <w:rFonts w:ascii="Arial" w:hAnsi="Arial" w:cs="Arial"/>
        </w:rPr>
        <w:t>the key information in this regard:</w:t>
      </w:r>
    </w:p>
    <w:p w:rsidR="00543267" w:rsidRDefault="00543267" w:rsidP="00387B6B">
      <w:pPr>
        <w:pStyle w:val="ListParagraph"/>
        <w:numPr>
          <w:ilvl w:val="1"/>
          <w:numId w:val="16"/>
        </w:numPr>
        <w:spacing w:after="0" w:line="360" w:lineRule="auto"/>
        <w:jc w:val="both"/>
        <w:rPr>
          <w:rFonts w:ascii="Arial" w:hAnsi="Arial" w:cs="Arial"/>
        </w:rPr>
      </w:pPr>
      <w:r>
        <w:rPr>
          <w:rFonts w:ascii="Arial" w:hAnsi="Arial" w:cs="Arial"/>
        </w:rPr>
        <w:t xml:space="preserve">The operating deficit (after Total Expenditure) is </w:t>
      </w:r>
      <w:r w:rsidR="00B36BBF">
        <w:rPr>
          <w:rFonts w:ascii="Arial" w:hAnsi="Arial" w:cs="Arial"/>
        </w:rPr>
        <w:t>negative</w:t>
      </w:r>
      <w:r>
        <w:rPr>
          <w:rFonts w:ascii="Arial" w:hAnsi="Arial" w:cs="Arial"/>
        </w:rPr>
        <w:t xml:space="preserve"> over the MTREF</w:t>
      </w:r>
      <w:r w:rsidR="00B36BBF">
        <w:rPr>
          <w:rFonts w:ascii="Arial" w:hAnsi="Arial" w:cs="Arial"/>
        </w:rPr>
        <w:t xml:space="preserve"> </w:t>
      </w:r>
      <w:r w:rsidR="00FD3AD6">
        <w:rPr>
          <w:rFonts w:ascii="Arial" w:hAnsi="Arial" w:cs="Arial"/>
        </w:rPr>
        <w:t xml:space="preserve">increasing </w:t>
      </w:r>
      <w:r w:rsidR="00B36BBF">
        <w:rPr>
          <w:rFonts w:ascii="Arial" w:hAnsi="Arial" w:cs="Arial"/>
        </w:rPr>
        <w:t>in</w:t>
      </w:r>
      <w:r w:rsidR="00FD3AD6">
        <w:rPr>
          <w:rFonts w:ascii="Arial" w:hAnsi="Arial" w:cs="Arial"/>
        </w:rPr>
        <w:t>to</w:t>
      </w:r>
      <w:r w:rsidR="00B36BBF">
        <w:rPr>
          <w:rFonts w:ascii="Arial" w:hAnsi="Arial" w:cs="Arial"/>
        </w:rPr>
        <w:t xml:space="preserve"> the outer years.</w:t>
      </w:r>
    </w:p>
    <w:p w:rsidR="00FA7FA9" w:rsidRDefault="00543267" w:rsidP="00387B6B">
      <w:pPr>
        <w:pStyle w:val="ListParagraph"/>
        <w:numPr>
          <w:ilvl w:val="1"/>
          <w:numId w:val="16"/>
        </w:numPr>
        <w:spacing w:after="0" w:line="360" w:lineRule="auto"/>
        <w:jc w:val="both"/>
        <w:rPr>
          <w:rFonts w:ascii="Arial" w:hAnsi="Arial" w:cs="Arial"/>
        </w:rPr>
      </w:pPr>
      <w:r>
        <w:rPr>
          <w:rFonts w:ascii="Arial" w:hAnsi="Arial" w:cs="Arial"/>
        </w:rPr>
        <w:t>Capital expenditure is balanced by capital funding sources, of which</w:t>
      </w:r>
    </w:p>
    <w:p w:rsidR="00543267" w:rsidRDefault="00543267" w:rsidP="00387B6B">
      <w:pPr>
        <w:pStyle w:val="ListParagraph"/>
        <w:numPr>
          <w:ilvl w:val="2"/>
          <w:numId w:val="16"/>
        </w:numPr>
        <w:spacing w:after="0" w:line="360" w:lineRule="auto"/>
        <w:jc w:val="both"/>
        <w:rPr>
          <w:rFonts w:ascii="Arial" w:hAnsi="Arial" w:cs="Arial"/>
        </w:rPr>
      </w:pPr>
      <w:r>
        <w:rPr>
          <w:rFonts w:ascii="Arial" w:hAnsi="Arial" w:cs="Arial"/>
        </w:rPr>
        <w:t>Transfers recognised is reflected on the Financial Performance Budget;</w:t>
      </w:r>
    </w:p>
    <w:p w:rsidR="00543267" w:rsidRPr="00F2274E" w:rsidRDefault="00CB20D3" w:rsidP="00387B6B">
      <w:pPr>
        <w:pStyle w:val="ListParagraph"/>
        <w:numPr>
          <w:ilvl w:val="2"/>
          <w:numId w:val="16"/>
        </w:numPr>
        <w:spacing w:after="0" w:line="360" w:lineRule="auto"/>
        <w:jc w:val="both"/>
        <w:rPr>
          <w:rFonts w:ascii="Arial" w:hAnsi="Arial" w:cs="Arial"/>
        </w:rPr>
      </w:pPr>
      <w:r w:rsidRPr="00F2274E">
        <w:rPr>
          <w:rFonts w:ascii="Arial" w:hAnsi="Arial" w:cs="Arial"/>
        </w:rPr>
        <w:t>Internally generated funds are</w:t>
      </w:r>
      <w:r w:rsidR="00783848" w:rsidRPr="00F2274E">
        <w:rPr>
          <w:rFonts w:ascii="Arial" w:hAnsi="Arial" w:cs="Arial"/>
        </w:rPr>
        <w:t xml:space="preserve"> financed from accumulated cash-backed surpluses from previous years.  The amount is incorporated in the Net cash from investing</w:t>
      </w:r>
      <w:r w:rsidR="00AE06E4">
        <w:rPr>
          <w:rFonts w:ascii="Arial" w:hAnsi="Arial" w:cs="Arial"/>
        </w:rPr>
        <w:t xml:space="preserve"> </w:t>
      </w:r>
      <w:r w:rsidR="00FE2F94">
        <w:rPr>
          <w:rFonts w:ascii="Arial" w:hAnsi="Arial" w:cs="Arial"/>
        </w:rPr>
        <w:t>activities</w:t>
      </w:r>
      <w:r w:rsidR="00AE06E4" w:rsidRPr="00AE06E4">
        <w:rPr>
          <w:rFonts w:ascii="Arial" w:hAnsi="Arial" w:cs="Arial"/>
          <w:color w:val="FF0000"/>
        </w:rPr>
        <w:t xml:space="preserve"> </w:t>
      </w:r>
      <w:r w:rsidR="00783848" w:rsidRPr="00F2274E">
        <w:rPr>
          <w:rFonts w:ascii="Arial" w:hAnsi="Arial" w:cs="Arial"/>
        </w:rPr>
        <w:t>on the Cash Flow Budget.  .</w:t>
      </w:r>
    </w:p>
    <w:p w:rsidR="00986A2C" w:rsidRDefault="00783848" w:rsidP="00387B6B">
      <w:pPr>
        <w:pStyle w:val="ListParagraph"/>
        <w:numPr>
          <w:ilvl w:val="0"/>
          <w:numId w:val="16"/>
        </w:numPr>
        <w:spacing w:after="0" w:line="360" w:lineRule="auto"/>
        <w:jc w:val="both"/>
        <w:rPr>
          <w:rFonts w:ascii="Arial" w:hAnsi="Arial" w:cs="Arial"/>
        </w:rPr>
      </w:pPr>
      <w:r w:rsidRPr="00986A2C">
        <w:rPr>
          <w:rFonts w:ascii="Arial" w:hAnsi="Arial" w:cs="Arial"/>
        </w:rPr>
        <w:t xml:space="preserve">The Cash backing/surplus reconciliation shows that in previous financial years the municipality was not paying much attention to managing this aspect of its finances, and consequently many of its obligations are not cash-backed.  </w:t>
      </w:r>
      <w:r w:rsidR="00B7176F" w:rsidRPr="00986A2C">
        <w:rPr>
          <w:rFonts w:ascii="Arial" w:hAnsi="Arial" w:cs="Arial"/>
        </w:rPr>
        <w:t>This place</w:t>
      </w:r>
      <w:r w:rsidR="00B7176F">
        <w:rPr>
          <w:rFonts w:ascii="Arial" w:hAnsi="Arial" w:cs="Arial"/>
        </w:rPr>
        <w:t>s</w:t>
      </w:r>
      <w:r w:rsidR="000A5B44" w:rsidRPr="00986A2C">
        <w:rPr>
          <w:rFonts w:ascii="Arial" w:hAnsi="Arial" w:cs="Arial"/>
        </w:rPr>
        <w:t xml:space="preserve"> the municipality in a very vulnerable financial position, as the</w:t>
      </w:r>
      <w:r w:rsidR="00986A2C" w:rsidRPr="00986A2C">
        <w:rPr>
          <w:rFonts w:ascii="Arial" w:hAnsi="Arial" w:cs="Arial"/>
        </w:rPr>
        <w:t xml:space="preserve"> collection rate of the revenue from water and sanitation services is very low and needs to be enhanced.</w:t>
      </w:r>
      <w:r w:rsidR="000A5B44" w:rsidRPr="00986A2C">
        <w:rPr>
          <w:rFonts w:ascii="Arial" w:hAnsi="Arial" w:cs="Arial"/>
        </w:rPr>
        <w:t xml:space="preserve">  </w:t>
      </w:r>
    </w:p>
    <w:p w:rsidR="00B7176F" w:rsidRDefault="00B7176F" w:rsidP="00387B6B">
      <w:pPr>
        <w:spacing w:after="0" w:line="360" w:lineRule="auto"/>
        <w:jc w:val="both"/>
        <w:rPr>
          <w:rFonts w:ascii="Arial" w:hAnsi="Arial" w:cs="Arial"/>
        </w:rPr>
      </w:pPr>
    </w:p>
    <w:p w:rsidR="00DD55A2" w:rsidRDefault="000A5B44" w:rsidP="00387B6B">
      <w:pPr>
        <w:spacing w:after="0" w:line="360" w:lineRule="auto"/>
        <w:rPr>
          <w:rFonts w:ascii="Arial" w:hAnsi="Arial" w:cs="Arial"/>
        </w:rPr>
      </w:pPr>
      <w:r w:rsidRPr="00FD3AD6">
        <w:rPr>
          <w:rFonts w:ascii="Arial" w:hAnsi="Arial" w:cs="Arial"/>
        </w:rPr>
        <w:t xml:space="preserve">Even though Council is placing great emphasis on securing the financial sustainability of the municipality, </w:t>
      </w:r>
      <w:r w:rsidR="00E47111" w:rsidRPr="00FD3AD6">
        <w:rPr>
          <w:rFonts w:ascii="Arial" w:hAnsi="Arial" w:cs="Arial"/>
        </w:rPr>
        <w:t>this is not being done at the expense of</w:t>
      </w:r>
      <w:r w:rsidR="00BE052B" w:rsidRPr="00FD3AD6">
        <w:rPr>
          <w:rFonts w:ascii="Arial" w:hAnsi="Arial" w:cs="Arial"/>
        </w:rPr>
        <w:t xml:space="preserve"> providing basic</w:t>
      </w:r>
      <w:r w:rsidR="00E47111" w:rsidRPr="00FD3AD6">
        <w:rPr>
          <w:rFonts w:ascii="Arial" w:hAnsi="Arial" w:cs="Arial"/>
        </w:rPr>
        <w:t xml:space="preserve"> services to the poor.  The section of Free Services shows that the amount spent on Free Basic Services and the revenue cost of free services provided by the municipality continues to increase. In addition, the municipality continues to make progress in addressing service deliv</w:t>
      </w:r>
      <w:r w:rsidR="00986A2C" w:rsidRPr="00FD3AD6">
        <w:rPr>
          <w:rFonts w:ascii="Arial" w:hAnsi="Arial" w:cs="Arial"/>
        </w:rPr>
        <w:t>ery backlogs</w:t>
      </w:r>
      <w:r w:rsidR="00BE052B" w:rsidRPr="00FD3AD6">
        <w:rPr>
          <w:rFonts w:ascii="Arial" w:hAnsi="Arial" w:cs="Arial"/>
        </w:rPr>
        <w:t xml:space="preserve"> though not at a </w:t>
      </w:r>
      <w:r w:rsidR="00BE052B">
        <w:rPr>
          <w:rFonts w:ascii="Arial" w:hAnsi="Arial" w:cs="Arial"/>
        </w:rPr>
        <w:t>larger scale as it is grant dependent</w:t>
      </w:r>
      <w:r w:rsidR="00986A2C" w:rsidRPr="009B29BA">
        <w:rPr>
          <w:rFonts w:ascii="Arial" w:hAnsi="Arial" w:cs="Arial"/>
        </w:rPr>
        <w:t xml:space="preserve">. The municipality has to ensure that it improves the billing and collection of the revenue from water and sanitation services so as to have cash available to fund service delivery and infrastructure backlogs. </w:t>
      </w:r>
      <w:r w:rsidR="00DD55A2">
        <w:rPr>
          <w:rFonts w:ascii="Arial" w:hAnsi="Arial" w:cs="Arial"/>
        </w:rPr>
        <w:t xml:space="preserve"> </w:t>
      </w:r>
    </w:p>
    <w:p w:rsidR="006A35DD" w:rsidRPr="00995AE6" w:rsidRDefault="006A35DD" w:rsidP="00387B6B">
      <w:pPr>
        <w:spacing w:after="0" w:line="360" w:lineRule="auto"/>
        <w:rPr>
          <w:b/>
        </w:rPr>
      </w:pPr>
    </w:p>
    <w:p w:rsidR="00FD3AD6" w:rsidRDefault="00FD3AD6" w:rsidP="00387B6B">
      <w:pPr>
        <w:spacing w:after="0" w:line="360" w:lineRule="auto"/>
        <w:jc w:val="both"/>
        <w:rPr>
          <w:rFonts w:ascii="Arial" w:hAnsi="Arial" w:cs="Arial"/>
          <w:b/>
        </w:rPr>
      </w:pPr>
    </w:p>
    <w:p w:rsidR="002C3AAA" w:rsidRDefault="002C3AAA" w:rsidP="00387B6B">
      <w:pPr>
        <w:spacing w:after="0" w:line="360" w:lineRule="auto"/>
        <w:jc w:val="both"/>
        <w:rPr>
          <w:rFonts w:ascii="Arial" w:hAnsi="Arial" w:cs="Arial"/>
          <w:b/>
        </w:rPr>
      </w:pPr>
    </w:p>
    <w:p w:rsidR="002C3AAA" w:rsidRDefault="002C3AAA" w:rsidP="00387B6B">
      <w:pPr>
        <w:spacing w:after="0" w:line="360" w:lineRule="auto"/>
        <w:jc w:val="both"/>
        <w:rPr>
          <w:rFonts w:ascii="Arial" w:hAnsi="Arial" w:cs="Arial"/>
          <w:b/>
        </w:rPr>
      </w:pPr>
    </w:p>
    <w:p w:rsidR="002C3AAA" w:rsidRDefault="002C3AAA" w:rsidP="00387B6B">
      <w:pPr>
        <w:spacing w:after="0" w:line="360" w:lineRule="auto"/>
        <w:jc w:val="both"/>
        <w:rPr>
          <w:rFonts w:ascii="Arial" w:hAnsi="Arial" w:cs="Arial"/>
          <w:b/>
        </w:rPr>
      </w:pPr>
    </w:p>
    <w:p w:rsidR="002C3AAA" w:rsidRDefault="002C3AAA" w:rsidP="00387B6B">
      <w:pPr>
        <w:spacing w:after="0" w:line="360" w:lineRule="auto"/>
        <w:jc w:val="both"/>
        <w:rPr>
          <w:rFonts w:ascii="Arial" w:hAnsi="Arial" w:cs="Arial"/>
          <w:b/>
        </w:rPr>
      </w:pPr>
    </w:p>
    <w:p w:rsidR="002C3AAA" w:rsidRDefault="002C3AAA" w:rsidP="00387B6B">
      <w:pPr>
        <w:spacing w:after="0" w:line="360" w:lineRule="auto"/>
        <w:jc w:val="both"/>
        <w:rPr>
          <w:rFonts w:ascii="Arial" w:hAnsi="Arial" w:cs="Arial"/>
          <w:b/>
        </w:rPr>
      </w:pPr>
    </w:p>
    <w:p w:rsidR="002C3AAA" w:rsidRDefault="002C3AAA" w:rsidP="00387B6B">
      <w:pPr>
        <w:spacing w:after="0" w:line="360" w:lineRule="auto"/>
        <w:jc w:val="both"/>
        <w:rPr>
          <w:rFonts w:ascii="Arial" w:hAnsi="Arial" w:cs="Arial"/>
          <w:b/>
        </w:rPr>
      </w:pPr>
    </w:p>
    <w:p w:rsidR="002C3AAA" w:rsidRDefault="002C3AAA" w:rsidP="00387B6B">
      <w:pPr>
        <w:spacing w:after="0" w:line="360" w:lineRule="auto"/>
        <w:jc w:val="both"/>
        <w:rPr>
          <w:rFonts w:ascii="Arial" w:hAnsi="Arial" w:cs="Arial"/>
          <w:b/>
        </w:rPr>
      </w:pPr>
    </w:p>
    <w:p w:rsidR="002C3AAA" w:rsidRDefault="002C3AAA" w:rsidP="00387B6B">
      <w:pPr>
        <w:spacing w:after="0" w:line="360" w:lineRule="auto"/>
        <w:jc w:val="both"/>
        <w:rPr>
          <w:rFonts w:ascii="Arial" w:hAnsi="Arial" w:cs="Arial"/>
          <w:b/>
        </w:rPr>
      </w:pPr>
    </w:p>
    <w:p w:rsidR="003B770C" w:rsidRDefault="003B770C" w:rsidP="00387B6B">
      <w:pPr>
        <w:pStyle w:val="Heading3"/>
        <w:numPr>
          <w:ilvl w:val="0"/>
          <w:numId w:val="0"/>
        </w:numPr>
        <w:spacing w:line="360" w:lineRule="auto"/>
        <w:rPr>
          <w:rFonts w:ascii="Arial" w:hAnsi="Arial" w:cs="Arial"/>
          <w:color w:val="auto"/>
        </w:rPr>
      </w:pPr>
      <w:bookmarkStart w:id="56" w:name="_Toc287342462"/>
      <w:bookmarkStart w:id="57" w:name="_Toc415060218"/>
    </w:p>
    <w:p w:rsidR="003B770C" w:rsidRDefault="003B770C" w:rsidP="00387B6B">
      <w:pPr>
        <w:pStyle w:val="Heading3"/>
        <w:numPr>
          <w:ilvl w:val="0"/>
          <w:numId w:val="0"/>
        </w:numPr>
        <w:spacing w:line="360" w:lineRule="auto"/>
        <w:rPr>
          <w:rFonts w:ascii="Arial" w:hAnsi="Arial" w:cs="Arial"/>
          <w:color w:val="auto"/>
        </w:rPr>
      </w:pPr>
    </w:p>
    <w:p w:rsidR="00B85BA5" w:rsidRPr="00703540" w:rsidRDefault="007103F0" w:rsidP="00387B6B">
      <w:pPr>
        <w:pStyle w:val="Heading3"/>
        <w:numPr>
          <w:ilvl w:val="0"/>
          <w:numId w:val="0"/>
        </w:numPr>
        <w:spacing w:line="360" w:lineRule="auto"/>
        <w:rPr>
          <w:rFonts w:ascii="Arial" w:hAnsi="Arial" w:cs="Arial"/>
          <w:color w:val="auto"/>
        </w:rPr>
      </w:pPr>
      <w:r w:rsidRPr="00703540">
        <w:rPr>
          <w:rFonts w:ascii="Arial" w:hAnsi="Arial" w:cs="Arial"/>
          <w:color w:val="auto"/>
        </w:rPr>
        <w:t>Table</w:t>
      </w:r>
      <w:r w:rsidR="001426B9" w:rsidRPr="00703540">
        <w:rPr>
          <w:rFonts w:ascii="Arial" w:hAnsi="Arial" w:cs="Arial"/>
          <w:color w:val="auto"/>
        </w:rPr>
        <w:t xml:space="preserve"> 1</w:t>
      </w:r>
      <w:r w:rsidR="00287A64">
        <w:rPr>
          <w:rFonts w:ascii="Arial" w:hAnsi="Arial" w:cs="Arial"/>
          <w:color w:val="auto"/>
        </w:rPr>
        <w:t>1</w:t>
      </w:r>
      <w:r w:rsidR="001426B9" w:rsidRPr="00703540">
        <w:rPr>
          <w:rFonts w:ascii="Arial" w:hAnsi="Arial" w:cs="Arial"/>
          <w:color w:val="auto"/>
        </w:rPr>
        <w:t xml:space="preserve"> MBRR</w:t>
      </w:r>
      <w:r w:rsidR="009E3665" w:rsidRPr="00703540">
        <w:rPr>
          <w:rFonts w:ascii="Arial" w:hAnsi="Arial" w:cs="Arial"/>
          <w:color w:val="auto"/>
        </w:rPr>
        <w:t xml:space="preserve"> </w:t>
      </w:r>
      <w:r w:rsidR="00B85BA5" w:rsidRPr="00703540">
        <w:rPr>
          <w:rFonts w:ascii="Arial" w:hAnsi="Arial" w:cs="Arial"/>
          <w:color w:val="auto"/>
        </w:rPr>
        <w:t>Table A4</w:t>
      </w:r>
      <w:r w:rsidR="00B374C8" w:rsidRPr="00703540">
        <w:rPr>
          <w:rFonts w:ascii="Arial" w:hAnsi="Arial" w:cs="Arial"/>
          <w:color w:val="auto"/>
        </w:rPr>
        <w:t xml:space="preserve"> - </w:t>
      </w:r>
      <w:r w:rsidR="00B85BA5" w:rsidRPr="00703540">
        <w:rPr>
          <w:rFonts w:ascii="Arial" w:hAnsi="Arial" w:cs="Arial"/>
          <w:color w:val="auto"/>
        </w:rPr>
        <w:t>Budgeted Financial Performance (revenue and expenditure)</w:t>
      </w:r>
      <w:bookmarkEnd w:id="56"/>
      <w:bookmarkEnd w:id="57"/>
    </w:p>
    <w:p w:rsidR="00C30727" w:rsidRDefault="00C30727" w:rsidP="00387B6B">
      <w:pPr>
        <w:spacing w:after="0" w:line="360" w:lineRule="auto"/>
        <w:rPr>
          <w:noProof/>
        </w:rPr>
      </w:pPr>
    </w:p>
    <w:p w:rsidR="00C672E4" w:rsidRDefault="00167165" w:rsidP="00387B6B">
      <w:pPr>
        <w:spacing w:after="0" w:line="360" w:lineRule="auto"/>
        <w:rPr>
          <w:noProof/>
        </w:rPr>
      </w:pPr>
      <w:r w:rsidRPr="00167165">
        <w:rPr>
          <w:noProof/>
          <w:lang w:val="en-US" w:eastAsia="en-US"/>
        </w:rPr>
        <w:drawing>
          <wp:inline distT="0" distB="0" distL="0" distR="0">
            <wp:extent cx="5943600" cy="515250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152508"/>
                    </a:xfrm>
                    <a:prstGeom prst="rect">
                      <a:avLst/>
                    </a:prstGeom>
                    <a:noFill/>
                    <a:ln>
                      <a:noFill/>
                    </a:ln>
                  </pic:spPr>
                </pic:pic>
              </a:graphicData>
            </a:graphic>
          </wp:inline>
        </w:drawing>
      </w:r>
    </w:p>
    <w:p w:rsidR="00385CF3" w:rsidRPr="00353F34" w:rsidRDefault="00385CF3" w:rsidP="00387B6B">
      <w:pPr>
        <w:spacing w:after="0" w:line="360" w:lineRule="auto"/>
        <w:rPr>
          <w:rFonts w:ascii="Arial" w:hAnsi="Arial" w:cs="Arial"/>
          <w:color w:val="E36C0A" w:themeColor="accent6" w:themeShade="BF"/>
          <w:sz w:val="24"/>
          <w:szCs w:val="24"/>
        </w:rPr>
      </w:pPr>
    </w:p>
    <w:p w:rsidR="009E3665" w:rsidRDefault="009E3665" w:rsidP="00387B6B">
      <w:pPr>
        <w:spacing w:after="0" w:line="360" w:lineRule="auto"/>
        <w:rPr>
          <w:rFonts w:ascii="Arial" w:hAnsi="Arial" w:cs="Arial"/>
          <w:i/>
          <w:sz w:val="20"/>
          <w:szCs w:val="20"/>
        </w:rPr>
      </w:pPr>
    </w:p>
    <w:p w:rsidR="00EA04C8" w:rsidRDefault="00EC1206" w:rsidP="00387B6B">
      <w:pPr>
        <w:spacing w:after="0" w:line="360" w:lineRule="auto"/>
        <w:jc w:val="both"/>
        <w:rPr>
          <w:rFonts w:ascii="Arial" w:hAnsi="Arial" w:cs="Arial"/>
          <w:b/>
        </w:rPr>
      </w:pPr>
      <w:r>
        <w:rPr>
          <w:rFonts w:cs="Arial"/>
          <w:sz w:val="24"/>
          <w:szCs w:val="24"/>
        </w:rPr>
        <w:br w:type="column"/>
      </w:r>
      <w:r w:rsidR="00EA04C8" w:rsidRPr="00470799">
        <w:rPr>
          <w:rFonts w:ascii="Arial" w:hAnsi="Arial" w:cs="Arial"/>
          <w:b/>
        </w:rPr>
        <w:t xml:space="preserve">Explanatory notes </w:t>
      </w:r>
      <w:r w:rsidR="00EA04C8">
        <w:rPr>
          <w:rFonts w:ascii="Arial" w:hAnsi="Arial" w:cs="Arial"/>
          <w:b/>
        </w:rPr>
        <w:t>to</w:t>
      </w:r>
      <w:r w:rsidR="00112F8B" w:rsidRPr="00112F8B">
        <w:rPr>
          <w:rFonts w:ascii="Arial" w:hAnsi="Arial" w:cs="Arial"/>
          <w:b/>
        </w:rPr>
        <w:t xml:space="preserve"> Table A4 - Budgeted Financial Performance (revenue and expenditure)</w:t>
      </w:r>
      <w:r w:rsidR="00F24A9A">
        <w:rPr>
          <w:rFonts w:ascii="Arial" w:hAnsi="Arial" w:cs="Arial"/>
          <w:b/>
        </w:rPr>
        <w:t xml:space="preserve">:- </w:t>
      </w:r>
    </w:p>
    <w:p w:rsidR="00EA04C8" w:rsidRPr="00EA04C8" w:rsidRDefault="00EA04C8" w:rsidP="00387B6B">
      <w:pPr>
        <w:spacing w:after="0" w:line="360" w:lineRule="auto"/>
        <w:jc w:val="both"/>
        <w:rPr>
          <w:rFonts w:ascii="Arial" w:hAnsi="Arial" w:cs="Arial"/>
          <w:b/>
        </w:rPr>
      </w:pPr>
    </w:p>
    <w:p w:rsidR="00EA04C8" w:rsidRDefault="00B50E2D" w:rsidP="00387B6B">
      <w:pPr>
        <w:pStyle w:val="Caption"/>
        <w:numPr>
          <w:ilvl w:val="0"/>
          <w:numId w:val="20"/>
        </w:numPr>
        <w:spacing w:after="0" w:line="360" w:lineRule="auto"/>
        <w:jc w:val="both"/>
        <w:rPr>
          <w:rFonts w:cs="Arial"/>
          <w:b w:val="0"/>
          <w:bCs w:val="0"/>
          <w:szCs w:val="22"/>
        </w:rPr>
      </w:pPr>
      <w:r w:rsidRPr="00EA04C8">
        <w:rPr>
          <w:rFonts w:cs="Arial"/>
          <w:b w:val="0"/>
          <w:bCs w:val="0"/>
          <w:szCs w:val="22"/>
        </w:rPr>
        <w:t xml:space="preserve">Total revenue </w:t>
      </w:r>
      <w:r w:rsidR="00EA04C8">
        <w:rPr>
          <w:rFonts w:cs="Arial"/>
          <w:b w:val="0"/>
          <w:bCs w:val="0"/>
          <w:szCs w:val="22"/>
        </w:rPr>
        <w:t xml:space="preserve">is </w:t>
      </w:r>
      <w:r w:rsidRPr="00EA04C8">
        <w:rPr>
          <w:rFonts w:cs="Arial"/>
          <w:b w:val="0"/>
          <w:bCs w:val="0"/>
          <w:szCs w:val="22"/>
        </w:rPr>
        <w:t>R</w:t>
      </w:r>
      <w:r w:rsidR="00EF44A1">
        <w:rPr>
          <w:rFonts w:cs="Arial"/>
          <w:b w:val="0"/>
          <w:bCs w:val="0"/>
          <w:szCs w:val="22"/>
        </w:rPr>
        <w:t xml:space="preserve"> </w:t>
      </w:r>
      <w:r w:rsidR="003B770C">
        <w:rPr>
          <w:rFonts w:cs="Arial"/>
          <w:b w:val="0"/>
          <w:bCs w:val="0"/>
          <w:szCs w:val="22"/>
        </w:rPr>
        <w:t>1 143 bill</w:t>
      </w:r>
      <w:r w:rsidR="0037649A" w:rsidRPr="002C3AAA">
        <w:rPr>
          <w:rFonts w:cs="Arial"/>
          <w:b w:val="0"/>
          <w:bCs w:val="0"/>
          <w:szCs w:val="22"/>
        </w:rPr>
        <w:t>ion</w:t>
      </w:r>
      <w:r w:rsidRPr="002C3AAA">
        <w:rPr>
          <w:rFonts w:cs="Arial"/>
          <w:b w:val="0"/>
          <w:bCs w:val="0"/>
          <w:szCs w:val="22"/>
        </w:rPr>
        <w:t xml:space="preserve"> in </w:t>
      </w:r>
      <w:r w:rsidR="006706E5" w:rsidRPr="002C3AAA">
        <w:rPr>
          <w:rFonts w:cs="Arial"/>
          <w:b w:val="0"/>
          <w:bCs w:val="0"/>
          <w:szCs w:val="22"/>
        </w:rPr>
        <w:t>20</w:t>
      </w:r>
      <w:r w:rsidR="003B770C">
        <w:rPr>
          <w:rFonts w:cs="Arial"/>
          <w:b w:val="0"/>
          <w:bCs w:val="0"/>
          <w:szCs w:val="22"/>
        </w:rPr>
        <w:t>20</w:t>
      </w:r>
      <w:r w:rsidR="006706E5" w:rsidRPr="002C3AAA">
        <w:rPr>
          <w:rFonts w:cs="Arial"/>
          <w:b w:val="0"/>
          <w:bCs w:val="0"/>
          <w:szCs w:val="22"/>
        </w:rPr>
        <w:t>/</w:t>
      </w:r>
      <w:r w:rsidR="008A37D9" w:rsidRPr="002C3AAA">
        <w:rPr>
          <w:rFonts w:cs="Arial"/>
          <w:b w:val="0"/>
          <w:bCs w:val="0"/>
          <w:szCs w:val="22"/>
        </w:rPr>
        <w:t>2</w:t>
      </w:r>
      <w:r w:rsidR="003B770C">
        <w:rPr>
          <w:rFonts w:cs="Arial"/>
          <w:b w:val="0"/>
          <w:bCs w:val="0"/>
          <w:szCs w:val="22"/>
        </w:rPr>
        <w:t>1</w:t>
      </w:r>
      <w:r w:rsidRPr="002C3AAA">
        <w:rPr>
          <w:rFonts w:cs="Arial"/>
          <w:b w:val="0"/>
          <w:bCs w:val="0"/>
          <w:szCs w:val="22"/>
        </w:rPr>
        <w:t xml:space="preserve"> and escalates to R</w:t>
      </w:r>
      <w:r w:rsidR="00427FE8" w:rsidRPr="002C3AAA">
        <w:rPr>
          <w:rFonts w:cs="Arial"/>
          <w:b w:val="0"/>
          <w:bCs w:val="0"/>
          <w:szCs w:val="22"/>
        </w:rPr>
        <w:t xml:space="preserve"> </w:t>
      </w:r>
      <w:r w:rsidR="00CB0D3C" w:rsidRPr="002C3AAA">
        <w:rPr>
          <w:rFonts w:cs="Arial"/>
          <w:b w:val="0"/>
          <w:bCs w:val="0"/>
          <w:szCs w:val="22"/>
        </w:rPr>
        <w:t xml:space="preserve">1 </w:t>
      </w:r>
      <w:r w:rsidR="003B770C">
        <w:rPr>
          <w:rFonts w:cs="Arial"/>
          <w:b w:val="0"/>
          <w:bCs w:val="0"/>
          <w:szCs w:val="22"/>
        </w:rPr>
        <w:t>276</w:t>
      </w:r>
      <w:r w:rsidR="002C3AAA" w:rsidRPr="002C3AAA">
        <w:rPr>
          <w:rFonts w:cs="Arial"/>
          <w:b w:val="0"/>
          <w:bCs w:val="0"/>
          <w:szCs w:val="22"/>
        </w:rPr>
        <w:t>.</w:t>
      </w:r>
      <w:r w:rsidR="003B770C">
        <w:rPr>
          <w:rFonts w:cs="Arial"/>
          <w:b w:val="0"/>
          <w:bCs w:val="0"/>
          <w:szCs w:val="22"/>
        </w:rPr>
        <w:t>6</w:t>
      </w:r>
      <w:r w:rsidR="00CB0D3C" w:rsidRPr="008A37D9">
        <w:rPr>
          <w:rFonts w:cs="Arial"/>
          <w:b w:val="0"/>
          <w:bCs w:val="0"/>
          <w:color w:val="FF0000"/>
          <w:szCs w:val="22"/>
        </w:rPr>
        <w:t xml:space="preserve"> </w:t>
      </w:r>
      <w:r w:rsidR="00CB0D3C">
        <w:rPr>
          <w:rFonts w:cs="Arial"/>
          <w:b w:val="0"/>
          <w:bCs w:val="0"/>
          <w:szCs w:val="22"/>
        </w:rPr>
        <w:t>b</w:t>
      </w:r>
      <w:r w:rsidR="0037649A">
        <w:rPr>
          <w:rFonts w:cs="Arial"/>
          <w:b w:val="0"/>
          <w:bCs w:val="0"/>
          <w:szCs w:val="22"/>
        </w:rPr>
        <w:t>illion</w:t>
      </w:r>
      <w:r w:rsidRPr="00EA04C8">
        <w:rPr>
          <w:rFonts w:cs="Arial"/>
          <w:b w:val="0"/>
          <w:bCs w:val="0"/>
          <w:szCs w:val="22"/>
        </w:rPr>
        <w:t xml:space="preserve"> by 20</w:t>
      </w:r>
      <w:r w:rsidR="007C7C2C">
        <w:rPr>
          <w:rFonts w:cs="Arial"/>
          <w:b w:val="0"/>
          <w:bCs w:val="0"/>
          <w:szCs w:val="22"/>
        </w:rPr>
        <w:t>2</w:t>
      </w:r>
      <w:r w:rsidR="003B770C">
        <w:rPr>
          <w:rFonts w:cs="Arial"/>
          <w:b w:val="0"/>
          <w:bCs w:val="0"/>
          <w:szCs w:val="22"/>
        </w:rPr>
        <w:t>2</w:t>
      </w:r>
      <w:r w:rsidRPr="00EA04C8">
        <w:rPr>
          <w:rFonts w:cs="Arial"/>
          <w:b w:val="0"/>
          <w:bCs w:val="0"/>
          <w:szCs w:val="22"/>
        </w:rPr>
        <w:t>/</w:t>
      </w:r>
      <w:r w:rsidR="002A20E6">
        <w:rPr>
          <w:rFonts w:cs="Arial"/>
          <w:b w:val="0"/>
          <w:bCs w:val="0"/>
          <w:szCs w:val="22"/>
        </w:rPr>
        <w:t>2</w:t>
      </w:r>
      <w:r w:rsidR="003B770C">
        <w:rPr>
          <w:rFonts w:cs="Arial"/>
          <w:b w:val="0"/>
          <w:bCs w:val="0"/>
          <w:szCs w:val="22"/>
        </w:rPr>
        <w:t>3</w:t>
      </w:r>
      <w:r w:rsidRPr="00EA04C8">
        <w:rPr>
          <w:rFonts w:cs="Arial"/>
          <w:b w:val="0"/>
          <w:bCs w:val="0"/>
          <w:szCs w:val="22"/>
        </w:rPr>
        <w:t>.  This represents a year</w:t>
      </w:r>
      <w:r w:rsidR="00EA04C8">
        <w:rPr>
          <w:rFonts w:cs="Arial"/>
          <w:b w:val="0"/>
          <w:bCs w:val="0"/>
          <w:szCs w:val="22"/>
        </w:rPr>
        <w:t>-</w:t>
      </w:r>
      <w:r w:rsidRPr="00EA04C8">
        <w:rPr>
          <w:rFonts w:cs="Arial"/>
          <w:b w:val="0"/>
          <w:bCs w:val="0"/>
          <w:szCs w:val="22"/>
        </w:rPr>
        <w:t>on</w:t>
      </w:r>
      <w:r w:rsidR="00EA04C8">
        <w:rPr>
          <w:rFonts w:cs="Arial"/>
          <w:b w:val="0"/>
          <w:bCs w:val="0"/>
          <w:szCs w:val="22"/>
        </w:rPr>
        <w:t>-</w:t>
      </w:r>
      <w:r w:rsidRPr="00EA04C8">
        <w:rPr>
          <w:rFonts w:cs="Arial"/>
          <w:b w:val="0"/>
          <w:bCs w:val="0"/>
          <w:szCs w:val="22"/>
        </w:rPr>
        <w:t xml:space="preserve">year increase of </w:t>
      </w:r>
      <w:r w:rsidR="00CB0D3C" w:rsidRPr="002C3AAA">
        <w:rPr>
          <w:rFonts w:cs="Arial"/>
          <w:b w:val="0"/>
          <w:bCs w:val="0"/>
          <w:szCs w:val="22"/>
        </w:rPr>
        <w:t>2</w:t>
      </w:r>
      <w:r w:rsidR="007C7C2C">
        <w:rPr>
          <w:rFonts w:cs="Arial"/>
          <w:b w:val="0"/>
          <w:bCs w:val="0"/>
          <w:szCs w:val="22"/>
        </w:rPr>
        <w:t xml:space="preserve"> </w:t>
      </w:r>
      <w:r w:rsidR="00660083">
        <w:rPr>
          <w:rFonts w:cs="Arial"/>
          <w:b w:val="0"/>
          <w:bCs w:val="0"/>
          <w:szCs w:val="22"/>
        </w:rPr>
        <w:t>%</w:t>
      </w:r>
      <w:r w:rsidRPr="00EA04C8">
        <w:rPr>
          <w:rFonts w:cs="Arial"/>
          <w:b w:val="0"/>
          <w:bCs w:val="0"/>
          <w:szCs w:val="22"/>
        </w:rPr>
        <w:t xml:space="preserve"> for 20</w:t>
      </w:r>
      <w:r w:rsidR="008A37D9">
        <w:rPr>
          <w:rFonts w:cs="Arial"/>
          <w:b w:val="0"/>
          <w:bCs w:val="0"/>
          <w:szCs w:val="22"/>
        </w:rPr>
        <w:t>20</w:t>
      </w:r>
      <w:r w:rsidRPr="00EA04C8">
        <w:rPr>
          <w:rFonts w:cs="Arial"/>
          <w:b w:val="0"/>
          <w:bCs w:val="0"/>
          <w:szCs w:val="22"/>
        </w:rPr>
        <w:t>/</w:t>
      </w:r>
      <w:r w:rsidR="007C7C2C">
        <w:rPr>
          <w:rFonts w:cs="Arial"/>
          <w:b w:val="0"/>
          <w:bCs w:val="0"/>
          <w:szCs w:val="22"/>
        </w:rPr>
        <w:t>2</w:t>
      </w:r>
      <w:r w:rsidR="008A37D9">
        <w:rPr>
          <w:rFonts w:cs="Arial"/>
          <w:b w:val="0"/>
          <w:bCs w:val="0"/>
          <w:szCs w:val="22"/>
        </w:rPr>
        <w:t>1</w:t>
      </w:r>
      <w:r w:rsidRPr="00EA04C8">
        <w:rPr>
          <w:rFonts w:cs="Arial"/>
          <w:b w:val="0"/>
          <w:bCs w:val="0"/>
          <w:szCs w:val="22"/>
        </w:rPr>
        <w:t xml:space="preserve"> financial year and </w:t>
      </w:r>
      <w:r w:rsidR="00522912">
        <w:rPr>
          <w:rFonts w:cs="Arial"/>
          <w:b w:val="0"/>
          <w:bCs w:val="0"/>
          <w:szCs w:val="22"/>
        </w:rPr>
        <w:t>9</w:t>
      </w:r>
      <w:r w:rsidR="00FA3A69">
        <w:rPr>
          <w:rFonts w:cs="Arial"/>
          <w:b w:val="0"/>
          <w:bCs w:val="0"/>
          <w:szCs w:val="22"/>
        </w:rPr>
        <w:t xml:space="preserve"> </w:t>
      </w:r>
      <w:r w:rsidR="00660083">
        <w:rPr>
          <w:rFonts w:cs="Arial"/>
          <w:b w:val="0"/>
          <w:bCs w:val="0"/>
          <w:szCs w:val="22"/>
        </w:rPr>
        <w:t>%</w:t>
      </w:r>
      <w:r w:rsidRPr="00EA04C8">
        <w:rPr>
          <w:rFonts w:cs="Arial"/>
          <w:b w:val="0"/>
          <w:bCs w:val="0"/>
          <w:szCs w:val="22"/>
        </w:rPr>
        <w:t xml:space="preserve"> for 20</w:t>
      </w:r>
      <w:r w:rsidR="007C7C2C">
        <w:rPr>
          <w:rFonts w:cs="Arial"/>
          <w:b w:val="0"/>
          <w:bCs w:val="0"/>
          <w:szCs w:val="22"/>
        </w:rPr>
        <w:t>2</w:t>
      </w:r>
      <w:r w:rsidR="00522912">
        <w:rPr>
          <w:rFonts w:cs="Arial"/>
          <w:b w:val="0"/>
          <w:bCs w:val="0"/>
          <w:szCs w:val="22"/>
        </w:rPr>
        <w:t>2</w:t>
      </w:r>
      <w:r w:rsidRPr="00EA04C8">
        <w:rPr>
          <w:rFonts w:cs="Arial"/>
          <w:b w:val="0"/>
          <w:bCs w:val="0"/>
          <w:szCs w:val="22"/>
        </w:rPr>
        <w:t>/</w:t>
      </w:r>
      <w:r w:rsidR="002A20E6">
        <w:rPr>
          <w:rFonts w:cs="Arial"/>
          <w:b w:val="0"/>
          <w:bCs w:val="0"/>
          <w:szCs w:val="22"/>
        </w:rPr>
        <w:t>2</w:t>
      </w:r>
      <w:r w:rsidR="00522912">
        <w:rPr>
          <w:rFonts w:cs="Arial"/>
          <w:b w:val="0"/>
          <w:bCs w:val="0"/>
          <w:szCs w:val="22"/>
        </w:rPr>
        <w:t>3</w:t>
      </w:r>
      <w:r w:rsidRPr="00EA04C8">
        <w:rPr>
          <w:rFonts w:cs="Arial"/>
          <w:b w:val="0"/>
          <w:bCs w:val="0"/>
          <w:szCs w:val="22"/>
        </w:rPr>
        <w:t xml:space="preserve"> financial year. </w:t>
      </w:r>
    </w:p>
    <w:p w:rsidR="00B30F78" w:rsidRDefault="00EC1206" w:rsidP="00387B6B">
      <w:pPr>
        <w:pStyle w:val="Caption"/>
        <w:numPr>
          <w:ilvl w:val="0"/>
          <w:numId w:val="20"/>
        </w:numPr>
        <w:spacing w:after="0" w:line="360" w:lineRule="auto"/>
        <w:jc w:val="both"/>
        <w:rPr>
          <w:rFonts w:cs="Arial"/>
          <w:b w:val="0"/>
          <w:bCs w:val="0"/>
          <w:szCs w:val="22"/>
        </w:rPr>
      </w:pPr>
      <w:r w:rsidRPr="00B30F78">
        <w:rPr>
          <w:rFonts w:cs="Arial"/>
          <w:b w:val="0"/>
          <w:bCs w:val="0"/>
          <w:szCs w:val="22"/>
        </w:rPr>
        <w:t xml:space="preserve">Revenue to be generated from </w:t>
      </w:r>
      <w:r w:rsidR="00B30F78" w:rsidRPr="00B30F78">
        <w:rPr>
          <w:rFonts w:cs="Arial"/>
          <w:b w:val="0"/>
          <w:bCs w:val="0"/>
          <w:szCs w:val="22"/>
        </w:rPr>
        <w:t>water</w:t>
      </w:r>
      <w:r w:rsidR="00DB761D">
        <w:rPr>
          <w:rFonts w:cs="Arial"/>
          <w:b w:val="0"/>
          <w:bCs w:val="0"/>
          <w:szCs w:val="22"/>
        </w:rPr>
        <w:t xml:space="preserve"> and sanitation</w:t>
      </w:r>
      <w:r w:rsidR="00B30F78" w:rsidRPr="00B30F78">
        <w:rPr>
          <w:rFonts w:cs="Arial"/>
          <w:b w:val="0"/>
          <w:bCs w:val="0"/>
          <w:szCs w:val="22"/>
        </w:rPr>
        <w:t xml:space="preserve"> services</w:t>
      </w:r>
      <w:r w:rsidRPr="00B30F78">
        <w:rPr>
          <w:rFonts w:cs="Arial"/>
          <w:b w:val="0"/>
          <w:bCs w:val="0"/>
          <w:szCs w:val="22"/>
        </w:rPr>
        <w:t xml:space="preserve"> is </w:t>
      </w:r>
      <w:r w:rsidRPr="00EB6E79">
        <w:rPr>
          <w:rFonts w:cs="Arial"/>
          <w:b w:val="0"/>
          <w:bCs w:val="0"/>
          <w:color w:val="000000" w:themeColor="text1"/>
          <w:szCs w:val="22"/>
        </w:rPr>
        <w:t>R</w:t>
      </w:r>
      <w:r w:rsidR="00427FE8" w:rsidRPr="00EB6E79">
        <w:rPr>
          <w:rFonts w:cs="Arial"/>
          <w:b w:val="0"/>
          <w:bCs w:val="0"/>
          <w:color w:val="000000" w:themeColor="text1"/>
          <w:szCs w:val="22"/>
        </w:rPr>
        <w:t xml:space="preserve"> </w:t>
      </w:r>
      <w:r w:rsidR="00522912">
        <w:rPr>
          <w:rFonts w:cs="Arial"/>
          <w:b w:val="0"/>
          <w:bCs w:val="0"/>
          <w:color w:val="000000" w:themeColor="text1"/>
          <w:szCs w:val="22"/>
        </w:rPr>
        <w:t>329</w:t>
      </w:r>
      <w:r w:rsidR="00B30F78" w:rsidRPr="008A37D9">
        <w:rPr>
          <w:rFonts w:cs="Arial"/>
          <w:b w:val="0"/>
          <w:bCs w:val="0"/>
          <w:color w:val="FF0000"/>
          <w:szCs w:val="22"/>
        </w:rPr>
        <w:t xml:space="preserve"> </w:t>
      </w:r>
      <w:r w:rsidR="00B30F78" w:rsidRPr="00B30F78">
        <w:rPr>
          <w:rFonts w:cs="Arial"/>
          <w:b w:val="0"/>
          <w:bCs w:val="0"/>
          <w:szCs w:val="22"/>
        </w:rPr>
        <w:t>mi</w:t>
      </w:r>
      <w:r w:rsidRPr="00B30F78">
        <w:rPr>
          <w:rFonts w:cs="Arial"/>
          <w:b w:val="0"/>
          <w:bCs w:val="0"/>
          <w:szCs w:val="22"/>
        </w:rPr>
        <w:t xml:space="preserve">llion in </w:t>
      </w:r>
      <w:r w:rsidR="006706E5">
        <w:rPr>
          <w:rFonts w:cs="Arial"/>
          <w:b w:val="0"/>
          <w:bCs w:val="0"/>
          <w:szCs w:val="22"/>
        </w:rPr>
        <w:t>20</w:t>
      </w:r>
      <w:r w:rsidR="00522912">
        <w:rPr>
          <w:rFonts w:cs="Arial"/>
          <w:b w:val="0"/>
          <w:bCs w:val="0"/>
          <w:szCs w:val="22"/>
        </w:rPr>
        <w:t>20</w:t>
      </w:r>
      <w:r w:rsidR="006706E5">
        <w:rPr>
          <w:rFonts w:cs="Arial"/>
          <w:b w:val="0"/>
          <w:bCs w:val="0"/>
          <w:szCs w:val="22"/>
        </w:rPr>
        <w:t>/</w:t>
      </w:r>
      <w:r w:rsidR="008A37D9">
        <w:rPr>
          <w:rFonts w:cs="Arial"/>
          <w:b w:val="0"/>
          <w:bCs w:val="0"/>
          <w:szCs w:val="22"/>
        </w:rPr>
        <w:t>2</w:t>
      </w:r>
      <w:r w:rsidR="00522912">
        <w:rPr>
          <w:rFonts w:cs="Arial"/>
          <w:b w:val="0"/>
          <w:bCs w:val="0"/>
          <w:szCs w:val="22"/>
        </w:rPr>
        <w:t>1</w:t>
      </w:r>
      <w:r w:rsidRPr="00B30F78">
        <w:rPr>
          <w:rFonts w:cs="Arial"/>
          <w:b w:val="0"/>
          <w:bCs w:val="0"/>
          <w:szCs w:val="22"/>
        </w:rPr>
        <w:t xml:space="preserve"> financial year and increases to R</w:t>
      </w:r>
      <w:r w:rsidR="00CB0D3C">
        <w:rPr>
          <w:rFonts w:cs="Arial"/>
          <w:b w:val="0"/>
          <w:bCs w:val="0"/>
          <w:szCs w:val="22"/>
        </w:rPr>
        <w:t xml:space="preserve"> </w:t>
      </w:r>
      <w:r w:rsidR="00522912">
        <w:rPr>
          <w:rFonts w:cs="Arial"/>
          <w:b w:val="0"/>
          <w:bCs w:val="0"/>
          <w:szCs w:val="22"/>
        </w:rPr>
        <w:t>352</w:t>
      </w:r>
      <w:r w:rsidR="00DB761D" w:rsidRPr="008A37D9">
        <w:rPr>
          <w:rFonts w:cs="Arial"/>
          <w:b w:val="0"/>
          <w:bCs w:val="0"/>
          <w:color w:val="FF0000"/>
          <w:szCs w:val="22"/>
        </w:rPr>
        <w:t xml:space="preserve"> </w:t>
      </w:r>
      <w:r w:rsidR="00B30F78" w:rsidRPr="00B30F78">
        <w:rPr>
          <w:rFonts w:cs="Arial"/>
          <w:b w:val="0"/>
          <w:bCs w:val="0"/>
          <w:szCs w:val="22"/>
        </w:rPr>
        <w:t>million</w:t>
      </w:r>
      <w:r w:rsidRPr="00B30F78">
        <w:rPr>
          <w:rFonts w:cs="Arial"/>
          <w:b w:val="0"/>
          <w:bCs w:val="0"/>
          <w:szCs w:val="22"/>
        </w:rPr>
        <w:t xml:space="preserve"> by 20</w:t>
      </w:r>
      <w:r w:rsidR="00CB0D3C">
        <w:rPr>
          <w:rFonts w:cs="Arial"/>
          <w:b w:val="0"/>
          <w:bCs w:val="0"/>
          <w:szCs w:val="22"/>
        </w:rPr>
        <w:t>2</w:t>
      </w:r>
      <w:r w:rsidR="00522912">
        <w:rPr>
          <w:rFonts w:cs="Arial"/>
          <w:b w:val="0"/>
          <w:bCs w:val="0"/>
          <w:szCs w:val="22"/>
        </w:rPr>
        <w:t>2</w:t>
      </w:r>
      <w:r w:rsidRPr="00B30F78">
        <w:rPr>
          <w:rFonts w:cs="Arial"/>
          <w:b w:val="0"/>
          <w:bCs w:val="0"/>
          <w:szCs w:val="22"/>
        </w:rPr>
        <w:t>/</w:t>
      </w:r>
      <w:r w:rsidR="00743FA7">
        <w:rPr>
          <w:rFonts w:cs="Arial"/>
          <w:b w:val="0"/>
          <w:bCs w:val="0"/>
          <w:szCs w:val="22"/>
        </w:rPr>
        <w:t>2</w:t>
      </w:r>
      <w:r w:rsidR="00522912">
        <w:rPr>
          <w:rFonts w:cs="Arial"/>
          <w:b w:val="0"/>
          <w:bCs w:val="0"/>
          <w:szCs w:val="22"/>
        </w:rPr>
        <w:t>3</w:t>
      </w:r>
      <w:r w:rsidRPr="00B30F78">
        <w:rPr>
          <w:rFonts w:cs="Arial"/>
          <w:b w:val="0"/>
          <w:bCs w:val="0"/>
          <w:szCs w:val="22"/>
        </w:rPr>
        <w:t xml:space="preserve"> </w:t>
      </w:r>
      <w:r w:rsidR="00922086">
        <w:rPr>
          <w:rFonts w:cs="Arial"/>
          <w:b w:val="0"/>
          <w:bCs w:val="0"/>
          <w:szCs w:val="22"/>
        </w:rPr>
        <w:t>and</w:t>
      </w:r>
      <w:r w:rsidRPr="00B30F78">
        <w:rPr>
          <w:rFonts w:cs="Arial"/>
          <w:b w:val="0"/>
          <w:bCs w:val="0"/>
          <w:szCs w:val="22"/>
        </w:rPr>
        <w:t xml:space="preserve"> represents </w:t>
      </w:r>
      <w:r w:rsidR="0037649A" w:rsidRPr="002C3AAA">
        <w:rPr>
          <w:rFonts w:cs="Arial"/>
          <w:b w:val="0"/>
          <w:bCs w:val="0"/>
          <w:szCs w:val="22"/>
        </w:rPr>
        <w:t>2</w:t>
      </w:r>
      <w:r w:rsidR="00522912">
        <w:rPr>
          <w:rFonts w:cs="Arial"/>
          <w:b w:val="0"/>
          <w:bCs w:val="0"/>
          <w:szCs w:val="22"/>
        </w:rPr>
        <w:t>8</w:t>
      </w:r>
      <w:r w:rsidR="002C3AAA" w:rsidRPr="002C3AAA">
        <w:rPr>
          <w:rFonts w:cs="Arial"/>
          <w:b w:val="0"/>
          <w:bCs w:val="0"/>
          <w:szCs w:val="22"/>
        </w:rPr>
        <w:t>.7</w:t>
      </w:r>
      <w:r w:rsidR="00CB0D3C">
        <w:rPr>
          <w:rFonts w:cs="Arial"/>
          <w:b w:val="0"/>
          <w:bCs w:val="0"/>
          <w:szCs w:val="22"/>
        </w:rPr>
        <w:t xml:space="preserve"> </w:t>
      </w:r>
      <w:r w:rsidR="00660083">
        <w:rPr>
          <w:rFonts w:cs="Arial"/>
          <w:b w:val="0"/>
          <w:bCs w:val="0"/>
          <w:szCs w:val="22"/>
        </w:rPr>
        <w:t>%</w:t>
      </w:r>
      <w:r w:rsidRPr="00B30F78">
        <w:rPr>
          <w:rFonts w:cs="Arial"/>
          <w:b w:val="0"/>
          <w:bCs w:val="0"/>
          <w:szCs w:val="22"/>
        </w:rPr>
        <w:t xml:space="preserve"> of th</w:t>
      </w:r>
      <w:r w:rsidR="00B30F78" w:rsidRPr="00B30F78">
        <w:rPr>
          <w:rFonts w:cs="Arial"/>
          <w:b w:val="0"/>
          <w:bCs w:val="0"/>
          <w:szCs w:val="22"/>
        </w:rPr>
        <w:t xml:space="preserve">e </w:t>
      </w:r>
      <w:r w:rsidR="00EB6E79">
        <w:rPr>
          <w:rFonts w:cs="Arial"/>
          <w:b w:val="0"/>
          <w:bCs w:val="0"/>
          <w:szCs w:val="22"/>
        </w:rPr>
        <w:t xml:space="preserve">total </w:t>
      </w:r>
      <w:r w:rsidR="00B30F78" w:rsidRPr="00B30F78">
        <w:rPr>
          <w:rFonts w:cs="Arial"/>
          <w:b w:val="0"/>
          <w:bCs w:val="0"/>
          <w:szCs w:val="22"/>
        </w:rPr>
        <w:t xml:space="preserve">operating revenue </w:t>
      </w:r>
      <w:r w:rsidR="00B50E2D" w:rsidRPr="00B30F78">
        <w:rPr>
          <w:rFonts w:cs="Arial"/>
          <w:b w:val="0"/>
          <w:bCs w:val="0"/>
          <w:szCs w:val="22"/>
        </w:rPr>
        <w:t xml:space="preserve">and therefore </w:t>
      </w:r>
      <w:r w:rsidR="0037649A">
        <w:rPr>
          <w:rFonts w:cs="Arial"/>
          <w:b w:val="0"/>
          <w:bCs w:val="0"/>
          <w:szCs w:val="22"/>
        </w:rPr>
        <w:t>indicating that the municipality is heavily grant dependent</w:t>
      </w:r>
      <w:r w:rsidRPr="00B30F78">
        <w:rPr>
          <w:rFonts w:cs="Arial"/>
          <w:b w:val="0"/>
          <w:bCs w:val="0"/>
          <w:szCs w:val="22"/>
        </w:rPr>
        <w:t xml:space="preserve">. </w:t>
      </w:r>
      <w:r w:rsidR="00EA04C8" w:rsidRPr="00B30F78">
        <w:rPr>
          <w:rFonts w:cs="Arial"/>
          <w:b w:val="0"/>
          <w:bCs w:val="0"/>
          <w:szCs w:val="22"/>
        </w:rPr>
        <w:t xml:space="preserve"> </w:t>
      </w:r>
      <w:r w:rsidRPr="00B30F78">
        <w:rPr>
          <w:rFonts w:cs="Arial"/>
          <w:b w:val="0"/>
          <w:bCs w:val="0"/>
          <w:szCs w:val="22"/>
        </w:rPr>
        <w:t>It remains relativel</w:t>
      </w:r>
      <w:r w:rsidR="00B30F78">
        <w:rPr>
          <w:rFonts w:cs="Arial"/>
          <w:b w:val="0"/>
          <w:bCs w:val="0"/>
          <w:szCs w:val="22"/>
        </w:rPr>
        <w:t xml:space="preserve">y constant over the medium-term, this </w:t>
      </w:r>
      <w:r w:rsidR="00EB6E79">
        <w:rPr>
          <w:rFonts w:cs="Arial"/>
          <w:b w:val="0"/>
          <w:bCs w:val="0"/>
          <w:szCs w:val="22"/>
        </w:rPr>
        <w:t xml:space="preserve">income stream is </w:t>
      </w:r>
      <w:r w:rsidR="00B30F78">
        <w:rPr>
          <w:rFonts w:cs="Arial"/>
          <w:b w:val="0"/>
          <w:bCs w:val="0"/>
          <w:szCs w:val="22"/>
        </w:rPr>
        <w:t>the revenue base of the municipality</w:t>
      </w:r>
      <w:r w:rsidR="00EB6E79">
        <w:rPr>
          <w:rFonts w:cs="Arial"/>
          <w:b w:val="0"/>
          <w:bCs w:val="0"/>
          <w:szCs w:val="22"/>
        </w:rPr>
        <w:t xml:space="preserve"> that must improve</w:t>
      </w:r>
      <w:r w:rsidR="00B30F78">
        <w:rPr>
          <w:rFonts w:cs="Arial"/>
          <w:b w:val="0"/>
          <w:bCs w:val="0"/>
          <w:szCs w:val="22"/>
        </w:rPr>
        <w:t xml:space="preserve"> </w:t>
      </w:r>
      <w:r w:rsidR="00EB6E79">
        <w:rPr>
          <w:rFonts w:cs="Arial"/>
          <w:b w:val="0"/>
          <w:bCs w:val="0"/>
          <w:szCs w:val="22"/>
        </w:rPr>
        <w:t>moving into the future</w:t>
      </w:r>
      <w:r w:rsidR="00D64DB1">
        <w:rPr>
          <w:rFonts w:cs="Arial"/>
          <w:b w:val="0"/>
          <w:bCs w:val="0"/>
          <w:szCs w:val="22"/>
        </w:rPr>
        <w:t>.</w:t>
      </w:r>
    </w:p>
    <w:p w:rsidR="00B30F78" w:rsidRDefault="00EA04C8" w:rsidP="00387B6B">
      <w:pPr>
        <w:pStyle w:val="Caption"/>
        <w:numPr>
          <w:ilvl w:val="0"/>
          <w:numId w:val="20"/>
        </w:numPr>
        <w:spacing w:after="0" w:line="360" w:lineRule="auto"/>
        <w:jc w:val="both"/>
        <w:rPr>
          <w:rFonts w:cs="Arial"/>
          <w:b w:val="0"/>
          <w:bCs w:val="0"/>
          <w:szCs w:val="22"/>
        </w:rPr>
      </w:pPr>
      <w:r w:rsidRPr="00B30F78">
        <w:rPr>
          <w:rFonts w:cs="Arial"/>
          <w:b w:val="0"/>
          <w:bCs w:val="0"/>
          <w:szCs w:val="22"/>
        </w:rPr>
        <w:t>Transfers recognised – operating</w:t>
      </w:r>
      <w:r w:rsidR="009830E1">
        <w:rPr>
          <w:rFonts w:cs="Arial"/>
          <w:b w:val="0"/>
          <w:bCs w:val="0"/>
          <w:szCs w:val="22"/>
        </w:rPr>
        <w:t>,</w:t>
      </w:r>
      <w:r w:rsidRPr="00B30F78">
        <w:rPr>
          <w:rFonts w:cs="Arial"/>
          <w:b w:val="0"/>
          <w:bCs w:val="0"/>
          <w:szCs w:val="22"/>
        </w:rPr>
        <w:t xml:space="preserve"> includes the local government equitable share and other operating grants from national and provincial government.</w:t>
      </w:r>
      <w:r w:rsidR="00112F8B" w:rsidRPr="00B30F78">
        <w:rPr>
          <w:rFonts w:cs="Arial"/>
          <w:b w:val="0"/>
          <w:bCs w:val="0"/>
          <w:szCs w:val="22"/>
        </w:rPr>
        <w:t xml:space="preserve"> </w:t>
      </w:r>
      <w:r w:rsidR="00B30F78" w:rsidRPr="00B30F78">
        <w:rPr>
          <w:rFonts w:cs="Arial"/>
          <w:b w:val="0"/>
          <w:bCs w:val="0"/>
          <w:szCs w:val="22"/>
        </w:rPr>
        <w:t>These grants form</w:t>
      </w:r>
      <w:r w:rsidR="007C7C2C">
        <w:rPr>
          <w:rFonts w:cs="Arial"/>
          <w:b w:val="0"/>
          <w:bCs w:val="0"/>
          <w:szCs w:val="22"/>
        </w:rPr>
        <w:t xml:space="preserve"> </w:t>
      </w:r>
      <w:r w:rsidR="00B30F78" w:rsidRPr="00B30F78">
        <w:rPr>
          <w:rFonts w:cs="Arial"/>
          <w:b w:val="0"/>
          <w:bCs w:val="0"/>
          <w:szCs w:val="22"/>
        </w:rPr>
        <w:t xml:space="preserve"> </w:t>
      </w:r>
      <w:r w:rsidR="004A47BA">
        <w:rPr>
          <w:rFonts w:cs="Arial"/>
          <w:b w:val="0"/>
          <w:bCs w:val="0"/>
          <w:szCs w:val="22"/>
        </w:rPr>
        <w:t>56</w:t>
      </w:r>
      <w:r w:rsidR="002C3AAA" w:rsidRPr="002C3AAA">
        <w:rPr>
          <w:rFonts w:cs="Arial"/>
          <w:b w:val="0"/>
          <w:bCs w:val="0"/>
          <w:szCs w:val="22"/>
        </w:rPr>
        <w:t>.8</w:t>
      </w:r>
      <w:r w:rsidR="00B30F78" w:rsidRPr="00B30F78">
        <w:rPr>
          <w:rFonts w:cs="Arial"/>
          <w:b w:val="0"/>
          <w:bCs w:val="0"/>
          <w:szCs w:val="22"/>
        </w:rPr>
        <w:t xml:space="preserve"> </w:t>
      </w:r>
      <w:r w:rsidR="00660083">
        <w:rPr>
          <w:rFonts w:cs="Arial"/>
          <w:b w:val="0"/>
          <w:bCs w:val="0"/>
          <w:szCs w:val="22"/>
        </w:rPr>
        <w:t>%</w:t>
      </w:r>
      <w:r w:rsidR="00B30F78" w:rsidRPr="00B30F78">
        <w:rPr>
          <w:rFonts w:cs="Arial"/>
          <w:b w:val="0"/>
          <w:bCs w:val="0"/>
          <w:szCs w:val="22"/>
        </w:rPr>
        <w:t xml:space="preserve"> of the total revenue base of the municipality therefore an indication that the municipality has to focus on the billing and collection of own revenue to have a better cash flow position</w:t>
      </w:r>
      <w:r w:rsidR="00D64DB1">
        <w:rPr>
          <w:rFonts w:cs="Arial"/>
          <w:b w:val="0"/>
          <w:bCs w:val="0"/>
          <w:szCs w:val="22"/>
        </w:rPr>
        <w:t>.</w:t>
      </w:r>
    </w:p>
    <w:p w:rsidR="00EA04C8" w:rsidRDefault="00EA04C8" w:rsidP="00387B6B">
      <w:pPr>
        <w:pStyle w:val="Caption"/>
        <w:numPr>
          <w:ilvl w:val="0"/>
          <w:numId w:val="20"/>
        </w:numPr>
        <w:spacing w:after="0" w:line="360" w:lineRule="auto"/>
        <w:jc w:val="both"/>
        <w:rPr>
          <w:rFonts w:cs="Arial"/>
          <w:b w:val="0"/>
          <w:bCs w:val="0"/>
          <w:szCs w:val="22"/>
        </w:rPr>
      </w:pPr>
      <w:r w:rsidRPr="00E80673">
        <w:rPr>
          <w:rFonts w:cs="Arial"/>
          <w:b w:val="0"/>
          <w:bCs w:val="0"/>
          <w:szCs w:val="22"/>
        </w:rPr>
        <w:t xml:space="preserve">The following graph illustrates the major </w:t>
      </w:r>
      <w:r w:rsidR="00E80673" w:rsidRPr="00E80673">
        <w:rPr>
          <w:rFonts w:cs="Arial"/>
          <w:b w:val="0"/>
          <w:bCs w:val="0"/>
          <w:szCs w:val="22"/>
        </w:rPr>
        <w:t>revenue</w:t>
      </w:r>
      <w:r w:rsidRPr="00E80673">
        <w:rPr>
          <w:rFonts w:cs="Arial"/>
          <w:b w:val="0"/>
          <w:bCs w:val="0"/>
          <w:szCs w:val="22"/>
        </w:rPr>
        <w:t xml:space="preserve"> items per type.</w:t>
      </w:r>
    </w:p>
    <w:p w:rsidR="00614C49" w:rsidRDefault="00B50E2D" w:rsidP="00387B6B">
      <w:pPr>
        <w:pStyle w:val="Caption"/>
        <w:numPr>
          <w:ilvl w:val="0"/>
          <w:numId w:val="20"/>
        </w:numPr>
        <w:spacing w:after="0" w:line="360" w:lineRule="auto"/>
        <w:jc w:val="both"/>
        <w:rPr>
          <w:rFonts w:cs="Arial"/>
          <w:b w:val="0"/>
          <w:szCs w:val="22"/>
        </w:rPr>
      </w:pPr>
      <w:r w:rsidRPr="00614C49">
        <w:rPr>
          <w:rFonts w:cs="Arial"/>
          <w:b w:val="0"/>
          <w:bCs w:val="0"/>
          <w:szCs w:val="22"/>
        </w:rPr>
        <w:t xml:space="preserve">Employee related costs </w:t>
      </w:r>
      <w:r w:rsidR="00420932" w:rsidRPr="00614C49">
        <w:rPr>
          <w:rFonts w:cs="Arial"/>
          <w:b w:val="0"/>
          <w:szCs w:val="22"/>
        </w:rPr>
        <w:t xml:space="preserve">are the major cost driver for the municipality at </w:t>
      </w:r>
      <w:r w:rsidR="004A47BA">
        <w:rPr>
          <w:rFonts w:cs="Arial"/>
          <w:b w:val="0"/>
          <w:szCs w:val="22"/>
        </w:rPr>
        <w:t>35</w:t>
      </w:r>
      <w:r w:rsidR="007C7C2C">
        <w:rPr>
          <w:rFonts w:cs="Arial"/>
          <w:b w:val="0"/>
          <w:szCs w:val="22"/>
        </w:rPr>
        <w:t xml:space="preserve"> </w:t>
      </w:r>
      <w:r w:rsidR="00660083">
        <w:rPr>
          <w:rFonts w:cs="Arial"/>
          <w:b w:val="0"/>
          <w:szCs w:val="22"/>
        </w:rPr>
        <w:t>%</w:t>
      </w:r>
      <w:r w:rsidR="00614C49" w:rsidRPr="00614C49">
        <w:rPr>
          <w:rFonts w:cs="Arial"/>
          <w:b w:val="0"/>
          <w:szCs w:val="22"/>
        </w:rPr>
        <w:t xml:space="preserve"> of the total </w:t>
      </w:r>
      <w:r w:rsidR="00E80673">
        <w:rPr>
          <w:rFonts w:cs="Arial"/>
          <w:b w:val="0"/>
          <w:szCs w:val="22"/>
        </w:rPr>
        <w:t xml:space="preserve">operating expenditure </w:t>
      </w:r>
      <w:r w:rsidR="00614C49" w:rsidRPr="00E80673">
        <w:rPr>
          <w:rFonts w:cs="Arial"/>
          <w:b w:val="0"/>
          <w:szCs w:val="22"/>
        </w:rPr>
        <w:t>budget</w:t>
      </w:r>
      <w:r w:rsidR="00614C49" w:rsidRPr="00614C49">
        <w:rPr>
          <w:rFonts w:cs="Arial"/>
          <w:b w:val="0"/>
          <w:szCs w:val="22"/>
        </w:rPr>
        <w:t>. These costs have increased significantly over the years due to the filling of vacancies that existed in the municipality and also annual</w:t>
      </w:r>
      <w:r w:rsidR="000D7568">
        <w:rPr>
          <w:rFonts w:cs="Arial"/>
          <w:b w:val="0"/>
          <w:szCs w:val="22"/>
        </w:rPr>
        <w:t xml:space="preserve"> increase in line with the</w:t>
      </w:r>
      <w:r w:rsidR="00614C49" w:rsidRPr="00614C49">
        <w:rPr>
          <w:rFonts w:cs="Arial"/>
          <w:b w:val="0"/>
          <w:szCs w:val="22"/>
        </w:rPr>
        <w:t xml:space="preserve"> collective</w:t>
      </w:r>
      <w:r w:rsidR="000D7568">
        <w:rPr>
          <w:rFonts w:cs="Arial"/>
          <w:b w:val="0"/>
          <w:szCs w:val="22"/>
        </w:rPr>
        <w:t xml:space="preserve"> agreement of the</w:t>
      </w:r>
      <w:r w:rsidR="00614C49" w:rsidRPr="00614C49">
        <w:rPr>
          <w:rFonts w:cs="Arial"/>
          <w:b w:val="0"/>
          <w:szCs w:val="22"/>
        </w:rPr>
        <w:t xml:space="preserve"> bargaining</w:t>
      </w:r>
      <w:r w:rsidR="000D7568">
        <w:rPr>
          <w:rFonts w:cs="Arial"/>
          <w:b w:val="0"/>
          <w:szCs w:val="22"/>
        </w:rPr>
        <w:t xml:space="preserve"> council. </w:t>
      </w:r>
      <w:r w:rsidR="007D6EFB">
        <w:rPr>
          <w:rFonts w:cs="Arial"/>
          <w:b w:val="0"/>
          <w:szCs w:val="22"/>
        </w:rPr>
        <w:t xml:space="preserve"> The water and sanitation take over has also influenced this cost as employees that were in local municipalities have </w:t>
      </w:r>
      <w:r w:rsidR="003A5CD6">
        <w:rPr>
          <w:rFonts w:cs="Arial"/>
          <w:b w:val="0"/>
          <w:szCs w:val="22"/>
        </w:rPr>
        <w:t xml:space="preserve">been transferred </w:t>
      </w:r>
      <w:r w:rsidR="008B7B9E">
        <w:rPr>
          <w:rFonts w:cs="Arial"/>
          <w:b w:val="0"/>
          <w:szCs w:val="22"/>
        </w:rPr>
        <w:t>to the district municipality and are in a process of being integrated to the municipality.</w:t>
      </w:r>
    </w:p>
    <w:p w:rsidR="00B11E8A" w:rsidRPr="00B11E8A" w:rsidRDefault="00B11E8A" w:rsidP="00387B6B">
      <w:pPr>
        <w:pStyle w:val="ListParagraph"/>
        <w:numPr>
          <w:ilvl w:val="0"/>
          <w:numId w:val="20"/>
        </w:numPr>
        <w:spacing w:line="360" w:lineRule="auto"/>
        <w:rPr>
          <w:rFonts w:ascii="Arial" w:hAnsi="Arial" w:cs="Arial"/>
        </w:rPr>
      </w:pPr>
      <w:r w:rsidRPr="00B11E8A">
        <w:rPr>
          <w:rFonts w:ascii="Arial" w:hAnsi="Arial" w:cs="Arial"/>
        </w:rPr>
        <w:t xml:space="preserve">The table </w:t>
      </w:r>
      <w:r w:rsidR="008E1ACA">
        <w:rPr>
          <w:rFonts w:ascii="Arial" w:hAnsi="Arial" w:cs="Arial"/>
        </w:rPr>
        <w:t>a</w:t>
      </w:r>
      <w:r w:rsidR="0024163B">
        <w:rPr>
          <w:rFonts w:ascii="Arial" w:hAnsi="Arial" w:cs="Arial"/>
        </w:rPr>
        <w:t>bo</w:t>
      </w:r>
      <w:r w:rsidR="008E1ACA">
        <w:rPr>
          <w:rFonts w:ascii="Arial" w:hAnsi="Arial" w:cs="Arial"/>
        </w:rPr>
        <w:t>ve</w:t>
      </w:r>
      <w:r w:rsidR="0024163B">
        <w:rPr>
          <w:rFonts w:ascii="Arial" w:hAnsi="Arial" w:cs="Arial"/>
        </w:rPr>
        <w:t xml:space="preserve"> </w:t>
      </w:r>
      <w:r w:rsidRPr="00B11E8A">
        <w:rPr>
          <w:rFonts w:ascii="Arial" w:hAnsi="Arial" w:cs="Arial"/>
        </w:rPr>
        <w:t>reflects an overall</w:t>
      </w:r>
      <w:r w:rsidR="00FB1D7D">
        <w:rPr>
          <w:rFonts w:ascii="Arial" w:hAnsi="Arial" w:cs="Arial"/>
        </w:rPr>
        <w:t xml:space="preserve"> de</w:t>
      </w:r>
      <w:r w:rsidRPr="00484FB6">
        <w:rPr>
          <w:rFonts w:ascii="Arial" w:hAnsi="Arial" w:cs="Arial"/>
          <w:color w:val="000000" w:themeColor="text1"/>
        </w:rPr>
        <w:t>crease</w:t>
      </w:r>
      <w:r w:rsidRPr="00B11E8A">
        <w:rPr>
          <w:rFonts w:ascii="Arial" w:hAnsi="Arial" w:cs="Arial"/>
        </w:rPr>
        <w:t xml:space="preserve"> of </w:t>
      </w:r>
      <w:r w:rsidR="00743FA7">
        <w:rPr>
          <w:rFonts w:ascii="Arial" w:hAnsi="Arial" w:cs="Arial"/>
        </w:rPr>
        <w:t>7</w:t>
      </w:r>
      <w:r w:rsidR="007C7C2C">
        <w:rPr>
          <w:rFonts w:ascii="Arial" w:hAnsi="Arial" w:cs="Arial"/>
        </w:rPr>
        <w:t xml:space="preserve"> </w:t>
      </w:r>
      <w:r w:rsidRPr="00484FB6">
        <w:rPr>
          <w:rFonts w:ascii="Arial" w:hAnsi="Arial" w:cs="Arial"/>
          <w:color w:val="000000" w:themeColor="text1"/>
        </w:rPr>
        <w:t>%</w:t>
      </w:r>
      <w:r w:rsidRPr="00B11E8A">
        <w:rPr>
          <w:rFonts w:ascii="Arial" w:hAnsi="Arial" w:cs="Arial"/>
        </w:rPr>
        <w:t xml:space="preserve"> in the </w:t>
      </w:r>
      <w:r w:rsidR="004A47BA">
        <w:rPr>
          <w:rFonts w:ascii="Arial" w:hAnsi="Arial" w:cs="Arial"/>
        </w:rPr>
        <w:t>final</w:t>
      </w:r>
      <w:r w:rsidRPr="00B11E8A">
        <w:rPr>
          <w:rFonts w:ascii="Arial" w:hAnsi="Arial" w:cs="Arial"/>
        </w:rPr>
        <w:t xml:space="preserve"> budget for operating expenditure</w:t>
      </w:r>
      <w:r w:rsidR="00FB1D7D">
        <w:rPr>
          <w:rFonts w:ascii="Arial" w:hAnsi="Arial" w:cs="Arial"/>
        </w:rPr>
        <w:t xml:space="preserve"> when compared to the </w:t>
      </w:r>
      <w:r w:rsidR="004A47BA">
        <w:rPr>
          <w:rFonts w:ascii="Arial" w:hAnsi="Arial" w:cs="Arial"/>
        </w:rPr>
        <w:t>second</w:t>
      </w:r>
      <w:r w:rsidR="00660BBB">
        <w:rPr>
          <w:rFonts w:ascii="Arial" w:hAnsi="Arial" w:cs="Arial"/>
        </w:rPr>
        <w:t xml:space="preserve"> </w:t>
      </w:r>
      <w:r w:rsidR="00FB1D7D">
        <w:rPr>
          <w:rFonts w:ascii="Arial" w:hAnsi="Arial" w:cs="Arial"/>
        </w:rPr>
        <w:t>adjustment budget</w:t>
      </w:r>
      <w:r w:rsidRPr="00B11E8A">
        <w:rPr>
          <w:rFonts w:ascii="Arial" w:hAnsi="Arial" w:cs="Arial"/>
        </w:rPr>
        <w:t xml:space="preserve">.  </w:t>
      </w:r>
    </w:p>
    <w:p w:rsidR="00D70C48" w:rsidRPr="00B11E8A" w:rsidRDefault="00563D7E" w:rsidP="00387B6B">
      <w:pPr>
        <w:numPr>
          <w:ilvl w:val="0"/>
          <w:numId w:val="39"/>
        </w:numPr>
        <w:spacing w:line="360" w:lineRule="auto"/>
        <w:rPr>
          <w:rFonts w:ascii="Arial" w:hAnsi="Arial" w:cs="Arial"/>
        </w:rPr>
      </w:pPr>
      <w:r w:rsidRPr="00B11E8A">
        <w:rPr>
          <w:rFonts w:ascii="Arial" w:hAnsi="Arial" w:cs="Arial"/>
        </w:rPr>
        <w:t xml:space="preserve">The </w:t>
      </w:r>
      <w:r w:rsidR="000B5C3F">
        <w:rPr>
          <w:rFonts w:ascii="Arial" w:hAnsi="Arial" w:cs="Arial"/>
        </w:rPr>
        <w:t>de</w:t>
      </w:r>
      <w:r w:rsidR="00E80673">
        <w:rPr>
          <w:rFonts w:ascii="Arial" w:hAnsi="Arial" w:cs="Arial"/>
        </w:rPr>
        <w:t>cr</w:t>
      </w:r>
      <w:r w:rsidRPr="00B11E8A">
        <w:rPr>
          <w:rFonts w:ascii="Arial" w:hAnsi="Arial" w:cs="Arial"/>
        </w:rPr>
        <w:t>ease was influenced by the following expenditure items:</w:t>
      </w:r>
      <w:r w:rsidR="00660BBB">
        <w:rPr>
          <w:rFonts w:ascii="Arial" w:hAnsi="Arial" w:cs="Arial"/>
        </w:rPr>
        <w:t>-</w:t>
      </w:r>
    </w:p>
    <w:p w:rsidR="000278B0" w:rsidRDefault="004A47BA" w:rsidP="00A307F9">
      <w:pPr>
        <w:numPr>
          <w:ilvl w:val="1"/>
          <w:numId w:val="39"/>
        </w:numPr>
        <w:spacing w:line="360" w:lineRule="auto"/>
        <w:rPr>
          <w:rFonts w:ascii="Arial" w:hAnsi="Arial" w:cs="Arial"/>
        </w:rPr>
      </w:pPr>
      <w:r>
        <w:rPr>
          <w:rFonts w:ascii="Arial" w:hAnsi="Arial" w:cs="Arial"/>
        </w:rPr>
        <w:t>Bulk Purchases</w:t>
      </w:r>
      <w:r w:rsidR="001060E1" w:rsidRPr="001060E1">
        <w:rPr>
          <w:rFonts w:ascii="Arial" w:hAnsi="Arial" w:cs="Arial"/>
        </w:rPr>
        <w:t xml:space="preserve"> by </w:t>
      </w:r>
      <w:r w:rsidR="001060E1">
        <w:rPr>
          <w:rFonts w:ascii="Arial" w:hAnsi="Arial" w:cs="Arial"/>
        </w:rPr>
        <w:t>-</w:t>
      </w:r>
      <w:r>
        <w:rPr>
          <w:rFonts w:ascii="Arial" w:hAnsi="Arial" w:cs="Arial"/>
        </w:rPr>
        <w:t xml:space="preserve">15 % </w:t>
      </w:r>
    </w:p>
    <w:p w:rsidR="004A47BA" w:rsidRPr="001060E1" w:rsidRDefault="004A47BA" w:rsidP="00A307F9">
      <w:pPr>
        <w:numPr>
          <w:ilvl w:val="1"/>
          <w:numId w:val="39"/>
        </w:numPr>
        <w:spacing w:line="360" w:lineRule="auto"/>
        <w:rPr>
          <w:rFonts w:ascii="Arial" w:hAnsi="Arial" w:cs="Arial"/>
        </w:rPr>
      </w:pPr>
      <w:r>
        <w:rPr>
          <w:rFonts w:ascii="Arial" w:hAnsi="Arial" w:cs="Arial"/>
        </w:rPr>
        <w:t xml:space="preserve">Contracted Services by -22 %; and </w:t>
      </w:r>
    </w:p>
    <w:p w:rsidR="00FE7E90" w:rsidRDefault="00FE7E90" w:rsidP="00FE7E90">
      <w:pPr>
        <w:numPr>
          <w:ilvl w:val="1"/>
          <w:numId w:val="39"/>
        </w:numPr>
        <w:spacing w:line="360" w:lineRule="auto"/>
        <w:rPr>
          <w:rFonts w:ascii="Arial" w:hAnsi="Arial" w:cs="Arial"/>
        </w:rPr>
      </w:pPr>
      <w:r w:rsidRPr="00686158">
        <w:rPr>
          <w:rFonts w:ascii="Arial" w:hAnsi="Arial" w:cs="Arial"/>
        </w:rPr>
        <w:t xml:space="preserve">Other </w:t>
      </w:r>
      <w:r w:rsidR="001060E1">
        <w:rPr>
          <w:rFonts w:ascii="Arial" w:hAnsi="Arial" w:cs="Arial"/>
        </w:rPr>
        <w:t>e</w:t>
      </w:r>
      <w:r w:rsidRPr="00686158">
        <w:rPr>
          <w:rFonts w:ascii="Arial" w:hAnsi="Arial" w:cs="Arial"/>
        </w:rPr>
        <w:t xml:space="preserve">xpenditure by </w:t>
      </w:r>
      <w:r>
        <w:rPr>
          <w:rFonts w:ascii="Arial" w:hAnsi="Arial" w:cs="Arial"/>
        </w:rPr>
        <w:t>-</w:t>
      </w:r>
      <w:r w:rsidR="00EA4DAF">
        <w:rPr>
          <w:rFonts w:ascii="Arial" w:hAnsi="Arial" w:cs="Arial"/>
        </w:rPr>
        <w:t>20</w:t>
      </w:r>
      <w:r>
        <w:rPr>
          <w:rFonts w:ascii="Arial" w:hAnsi="Arial" w:cs="Arial"/>
        </w:rPr>
        <w:t xml:space="preserve"> </w:t>
      </w:r>
      <w:r w:rsidRPr="00686158">
        <w:rPr>
          <w:rFonts w:ascii="Arial" w:hAnsi="Arial" w:cs="Arial"/>
        </w:rPr>
        <w:t>%.</w:t>
      </w:r>
    </w:p>
    <w:p w:rsidR="00621339" w:rsidRDefault="00621339" w:rsidP="00FE7E90">
      <w:pPr>
        <w:spacing w:line="360" w:lineRule="auto"/>
        <w:ind w:left="1440"/>
        <w:rPr>
          <w:rFonts w:ascii="Arial" w:hAnsi="Arial" w:cs="Arial"/>
        </w:rPr>
      </w:pPr>
    </w:p>
    <w:p w:rsidR="001060E1" w:rsidRDefault="001060E1" w:rsidP="00FE7E90">
      <w:pPr>
        <w:spacing w:line="360" w:lineRule="auto"/>
        <w:ind w:left="1440"/>
        <w:rPr>
          <w:rFonts w:ascii="Arial" w:hAnsi="Arial" w:cs="Arial"/>
        </w:rPr>
      </w:pPr>
    </w:p>
    <w:p w:rsidR="001060E1" w:rsidRPr="00D40C4B" w:rsidRDefault="001060E1" w:rsidP="00FE7E90">
      <w:pPr>
        <w:spacing w:line="360" w:lineRule="auto"/>
        <w:ind w:left="1440"/>
        <w:rPr>
          <w:rFonts w:ascii="Arial" w:hAnsi="Arial" w:cs="Arial"/>
        </w:rPr>
      </w:pPr>
    </w:p>
    <w:p w:rsidR="00D70C48" w:rsidRPr="00B11E8A" w:rsidRDefault="00563D7E" w:rsidP="00387B6B">
      <w:pPr>
        <w:numPr>
          <w:ilvl w:val="0"/>
          <w:numId w:val="39"/>
        </w:numPr>
        <w:spacing w:line="360" w:lineRule="auto"/>
        <w:rPr>
          <w:rFonts w:ascii="Arial" w:hAnsi="Arial" w:cs="Arial"/>
        </w:rPr>
      </w:pPr>
      <w:r w:rsidRPr="000278B0">
        <w:rPr>
          <w:rFonts w:ascii="Arial" w:hAnsi="Arial" w:cs="Arial"/>
        </w:rPr>
        <w:t>The foll</w:t>
      </w:r>
      <w:r w:rsidRPr="00B11E8A">
        <w:rPr>
          <w:rFonts w:ascii="Arial" w:hAnsi="Arial" w:cs="Arial"/>
        </w:rPr>
        <w:t>owing expenditure items have however</w:t>
      </w:r>
      <w:r w:rsidR="000278B0">
        <w:rPr>
          <w:rFonts w:ascii="Arial" w:hAnsi="Arial" w:cs="Arial"/>
        </w:rPr>
        <w:t xml:space="preserve"> </w:t>
      </w:r>
      <w:r w:rsidR="00FE7E90">
        <w:rPr>
          <w:rFonts w:ascii="Arial" w:hAnsi="Arial" w:cs="Arial"/>
        </w:rPr>
        <w:t xml:space="preserve">increased </w:t>
      </w:r>
      <w:r w:rsidRPr="00B11E8A">
        <w:rPr>
          <w:rFonts w:ascii="Arial" w:hAnsi="Arial" w:cs="Arial"/>
        </w:rPr>
        <w:t>:-</w:t>
      </w:r>
    </w:p>
    <w:p w:rsidR="001060E1" w:rsidRDefault="00621339" w:rsidP="00FE7E90">
      <w:pPr>
        <w:numPr>
          <w:ilvl w:val="1"/>
          <w:numId w:val="39"/>
        </w:numPr>
        <w:spacing w:line="360" w:lineRule="auto"/>
        <w:rPr>
          <w:rFonts w:ascii="Arial" w:hAnsi="Arial" w:cs="Arial"/>
        </w:rPr>
      </w:pPr>
      <w:bookmarkStart w:id="58" w:name="_Toc287342463"/>
      <w:bookmarkStart w:id="59" w:name="_Toc415060219"/>
      <w:r w:rsidRPr="00D40C4B">
        <w:rPr>
          <w:rFonts w:ascii="Arial" w:hAnsi="Arial" w:cs="Arial"/>
        </w:rPr>
        <w:t xml:space="preserve">Employee related costs </w:t>
      </w:r>
      <w:r>
        <w:rPr>
          <w:rFonts w:ascii="Arial" w:hAnsi="Arial" w:cs="Arial"/>
        </w:rPr>
        <w:t xml:space="preserve">by </w:t>
      </w:r>
      <w:r w:rsidR="00EA4DAF">
        <w:rPr>
          <w:rFonts w:ascii="Arial" w:hAnsi="Arial" w:cs="Arial"/>
        </w:rPr>
        <w:t>8</w:t>
      </w:r>
      <w:r>
        <w:rPr>
          <w:rFonts w:ascii="Arial" w:hAnsi="Arial" w:cs="Arial"/>
          <w:color w:val="FF0000"/>
        </w:rPr>
        <w:t xml:space="preserve"> </w:t>
      </w:r>
      <w:r>
        <w:rPr>
          <w:rFonts w:ascii="Arial" w:hAnsi="Arial" w:cs="Arial"/>
        </w:rPr>
        <w:t>%;</w:t>
      </w:r>
    </w:p>
    <w:p w:rsidR="001060E1" w:rsidRDefault="001060E1" w:rsidP="00FE7E90">
      <w:pPr>
        <w:numPr>
          <w:ilvl w:val="1"/>
          <w:numId w:val="39"/>
        </w:numPr>
        <w:spacing w:line="360" w:lineRule="auto"/>
        <w:rPr>
          <w:rFonts w:ascii="Arial" w:hAnsi="Arial" w:cs="Arial"/>
        </w:rPr>
      </w:pPr>
      <w:r>
        <w:rPr>
          <w:rFonts w:ascii="Arial" w:hAnsi="Arial" w:cs="Arial"/>
        </w:rPr>
        <w:t xml:space="preserve">Remuneration of Councillors by </w:t>
      </w:r>
      <w:r w:rsidR="00EA4DAF">
        <w:rPr>
          <w:rFonts w:ascii="Arial" w:hAnsi="Arial" w:cs="Arial"/>
        </w:rPr>
        <w:t>6</w:t>
      </w:r>
      <w:r>
        <w:rPr>
          <w:rFonts w:ascii="Arial" w:hAnsi="Arial" w:cs="Arial"/>
        </w:rPr>
        <w:t xml:space="preserve"> %; and</w:t>
      </w:r>
    </w:p>
    <w:p w:rsidR="00FE7E90" w:rsidRDefault="00EA4DAF" w:rsidP="00FE7E90">
      <w:pPr>
        <w:numPr>
          <w:ilvl w:val="1"/>
          <w:numId w:val="39"/>
        </w:numPr>
        <w:spacing w:line="360" w:lineRule="auto"/>
        <w:rPr>
          <w:rFonts w:ascii="Arial" w:hAnsi="Arial" w:cs="Arial"/>
        </w:rPr>
      </w:pPr>
      <w:r>
        <w:rPr>
          <w:rFonts w:ascii="Arial" w:hAnsi="Arial" w:cs="Arial"/>
        </w:rPr>
        <w:t>Transfers and Grants</w:t>
      </w:r>
      <w:r w:rsidR="001060E1">
        <w:rPr>
          <w:rFonts w:ascii="Arial" w:hAnsi="Arial" w:cs="Arial"/>
        </w:rPr>
        <w:t xml:space="preserve"> by </w:t>
      </w:r>
      <w:r>
        <w:rPr>
          <w:rFonts w:ascii="Arial" w:hAnsi="Arial" w:cs="Arial"/>
        </w:rPr>
        <w:t>20</w:t>
      </w:r>
      <w:r w:rsidR="001060E1">
        <w:rPr>
          <w:rFonts w:ascii="Arial" w:hAnsi="Arial" w:cs="Arial"/>
        </w:rPr>
        <w:t xml:space="preserve"> %.</w:t>
      </w:r>
      <w:r w:rsidR="00FE7E90" w:rsidRPr="00FE7E90">
        <w:rPr>
          <w:rFonts w:ascii="Arial" w:hAnsi="Arial" w:cs="Arial"/>
        </w:rPr>
        <w:t xml:space="preserve"> </w:t>
      </w:r>
    </w:p>
    <w:p w:rsidR="00C30727" w:rsidRPr="00297EFE" w:rsidRDefault="007103F0" w:rsidP="00686158">
      <w:pPr>
        <w:spacing w:line="360" w:lineRule="auto"/>
        <w:rPr>
          <w:rFonts w:ascii="Arial" w:hAnsi="Arial" w:cs="Arial"/>
          <w:b/>
          <w:color w:val="FF0000"/>
        </w:rPr>
      </w:pPr>
      <w:r w:rsidRPr="00297EFE">
        <w:rPr>
          <w:rFonts w:ascii="Arial" w:hAnsi="Arial" w:cs="Arial"/>
          <w:b/>
        </w:rPr>
        <w:t xml:space="preserve">Table </w:t>
      </w:r>
      <w:r w:rsidR="00212CA9" w:rsidRPr="00297EFE">
        <w:rPr>
          <w:rFonts w:ascii="Arial" w:hAnsi="Arial" w:cs="Arial"/>
          <w:b/>
        </w:rPr>
        <w:t>1</w:t>
      </w:r>
      <w:r w:rsidR="00287A64" w:rsidRPr="00297EFE">
        <w:rPr>
          <w:rFonts w:ascii="Arial" w:hAnsi="Arial" w:cs="Arial"/>
          <w:b/>
        </w:rPr>
        <w:t>2</w:t>
      </w:r>
      <w:r w:rsidR="00660BBB" w:rsidRPr="00297EFE">
        <w:rPr>
          <w:rFonts w:ascii="Arial" w:hAnsi="Arial" w:cs="Arial"/>
          <w:b/>
        </w:rPr>
        <w:t>:</w:t>
      </w:r>
      <w:r w:rsidR="00212CA9" w:rsidRPr="00297EFE">
        <w:rPr>
          <w:rFonts w:ascii="Arial" w:hAnsi="Arial" w:cs="Arial"/>
          <w:b/>
        </w:rPr>
        <w:t xml:space="preserve"> MBRR</w:t>
      </w:r>
      <w:r w:rsidR="00F04A92" w:rsidRPr="00297EFE">
        <w:rPr>
          <w:rFonts w:ascii="Arial" w:hAnsi="Arial" w:cs="Arial"/>
          <w:b/>
        </w:rPr>
        <w:t xml:space="preserve"> Table </w:t>
      </w:r>
      <w:r w:rsidR="00B85BA5" w:rsidRPr="00297EFE">
        <w:rPr>
          <w:rFonts w:ascii="Arial" w:hAnsi="Arial" w:cs="Arial"/>
          <w:b/>
        </w:rPr>
        <w:t>A5</w:t>
      </w:r>
      <w:r w:rsidR="00B374C8" w:rsidRPr="00297EFE">
        <w:rPr>
          <w:rFonts w:ascii="Arial" w:hAnsi="Arial" w:cs="Arial"/>
          <w:b/>
        </w:rPr>
        <w:t xml:space="preserve"> - </w:t>
      </w:r>
      <w:r w:rsidR="00B85BA5" w:rsidRPr="00297EFE">
        <w:rPr>
          <w:rFonts w:ascii="Arial" w:hAnsi="Arial" w:cs="Arial"/>
          <w:b/>
        </w:rPr>
        <w:t>Budgeted Capital Expenditure by vote, standard classification and funding source</w:t>
      </w:r>
      <w:bookmarkEnd w:id="58"/>
      <w:bookmarkEnd w:id="59"/>
      <w:r w:rsidR="00EA4DAF">
        <w:rPr>
          <w:rFonts w:ascii="Arial" w:hAnsi="Arial" w:cs="Arial"/>
          <w:b/>
        </w:rPr>
        <w:t>s</w:t>
      </w:r>
      <w:r w:rsidR="00660BBB" w:rsidRPr="00297EFE">
        <w:rPr>
          <w:rFonts w:ascii="Arial" w:hAnsi="Arial" w:cs="Arial"/>
          <w:b/>
        </w:rPr>
        <w:t>:</w:t>
      </w:r>
      <w:r w:rsidR="00427FE8" w:rsidRPr="00297EFE">
        <w:rPr>
          <w:rFonts w:ascii="Arial" w:hAnsi="Arial" w:cs="Arial"/>
          <w:b/>
        </w:rPr>
        <w:t xml:space="preserve">- </w:t>
      </w:r>
    </w:p>
    <w:p w:rsidR="00297EFE" w:rsidRDefault="00C66278" w:rsidP="00686158">
      <w:pPr>
        <w:spacing w:line="360" w:lineRule="auto"/>
        <w:rPr>
          <w:rFonts w:ascii="Arial" w:hAnsi="Arial" w:cs="Arial"/>
        </w:rPr>
      </w:pPr>
      <w:r w:rsidRPr="00C66278">
        <w:rPr>
          <w:noProof/>
          <w:lang w:val="en-US" w:eastAsia="en-US"/>
        </w:rPr>
        <w:drawing>
          <wp:inline distT="0" distB="0" distL="0" distR="0">
            <wp:extent cx="5943600" cy="75518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7551807"/>
                    </a:xfrm>
                    <a:prstGeom prst="rect">
                      <a:avLst/>
                    </a:prstGeom>
                    <a:noFill/>
                    <a:ln>
                      <a:noFill/>
                    </a:ln>
                  </pic:spPr>
                </pic:pic>
              </a:graphicData>
            </a:graphic>
          </wp:inline>
        </w:drawing>
      </w:r>
    </w:p>
    <w:p w:rsidR="00C30727" w:rsidRDefault="00C30727" w:rsidP="00686158">
      <w:pPr>
        <w:spacing w:line="360" w:lineRule="auto"/>
      </w:pPr>
    </w:p>
    <w:p w:rsidR="00112F8B" w:rsidRDefault="00112F8B" w:rsidP="00387B6B">
      <w:pPr>
        <w:spacing w:after="0" w:line="360" w:lineRule="auto"/>
        <w:jc w:val="both"/>
        <w:rPr>
          <w:rFonts w:ascii="Arial" w:hAnsi="Arial" w:cs="Arial"/>
          <w:b/>
        </w:rPr>
      </w:pPr>
      <w:r w:rsidRPr="00470799">
        <w:rPr>
          <w:rFonts w:ascii="Arial" w:hAnsi="Arial" w:cs="Arial"/>
          <w:b/>
        </w:rPr>
        <w:t xml:space="preserve">Explanatory notes </w:t>
      </w:r>
      <w:r>
        <w:rPr>
          <w:rFonts w:ascii="Arial" w:hAnsi="Arial" w:cs="Arial"/>
          <w:b/>
        </w:rPr>
        <w:t xml:space="preserve">to </w:t>
      </w:r>
      <w:r w:rsidRPr="00112F8B">
        <w:rPr>
          <w:rFonts w:ascii="Arial" w:hAnsi="Arial" w:cs="Arial"/>
          <w:b/>
        </w:rPr>
        <w:t>Table A5 - Budgeted Capital Expenditure by vote, standard classification and funding source</w:t>
      </w:r>
      <w:r w:rsidR="00F24A9A">
        <w:rPr>
          <w:rFonts w:ascii="Arial" w:hAnsi="Arial" w:cs="Arial"/>
          <w:b/>
        </w:rPr>
        <w:t xml:space="preserve">:- </w:t>
      </w:r>
    </w:p>
    <w:p w:rsidR="00112F8B" w:rsidRPr="00112F8B" w:rsidRDefault="00112F8B" w:rsidP="00387B6B">
      <w:pPr>
        <w:spacing w:after="0" w:line="360" w:lineRule="auto"/>
        <w:jc w:val="both"/>
        <w:rPr>
          <w:rFonts w:ascii="Arial" w:hAnsi="Arial" w:cs="Arial"/>
          <w:b/>
        </w:rPr>
      </w:pPr>
    </w:p>
    <w:p w:rsidR="00FA3A69" w:rsidRDefault="00FA3A69" w:rsidP="00387B6B">
      <w:pPr>
        <w:pStyle w:val="Default"/>
        <w:numPr>
          <w:ilvl w:val="0"/>
          <w:numId w:val="21"/>
        </w:numPr>
        <w:spacing w:line="360" w:lineRule="auto"/>
        <w:jc w:val="both"/>
        <w:rPr>
          <w:sz w:val="22"/>
          <w:szCs w:val="22"/>
        </w:rPr>
      </w:pPr>
      <w:r w:rsidRPr="004C44C9">
        <w:rPr>
          <w:sz w:val="22"/>
          <w:szCs w:val="22"/>
        </w:rPr>
        <w:t>Table A5 is a</w:t>
      </w:r>
      <w:r w:rsidRPr="0089657D">
        <w:rPr>
          <w:sz w:val="22"/>
          <w:szCs w:val="22"/>
        </w:rPr>
        <w:t xml:space="preserve"> breakdown</w:t>
      </w:r>
      <w:r>
        <w:rPr>
          <w:sz w:val="22"/>
          <w:szCs w:val="22"/>
        </w:rPr>
        <w:t xml:space="preserve"> of the capital programme</w:t>
      </w:r>
      <w:r w:rsidR="006E1A4A">
        <w:rPr>
          <w:sz w:val="22"/>
          <w:szCs w:val="22"/>
        </w:rPr>
        <w:t>s</w:t>
      </w:r>
      <w:r>
        <w:rPr>
          <w:sz w:val="22"/>
          <w:szCs w:val="22"/>
        </w:rPr>
        <w:t xml:space="preserve"> in relation to capital expenditure by municipal vote (multi-year and single-year appropriations); capital expenditure by standard classification; and the funding sources necessary to fund the capital budget, including information on capital transfers from national and provincial departments.</w:t>
      </w:r>
    </w:p>
    <w:p w:rsidR="00FA3A69" w:rsidRPr="00FA3A69" w:rsidRDefault="00FA3A69" w:rsidP="00387B6B">
      <w:pPr>
        <w:pStyle w:val="Default"/>
        <w:numPr>
          <w:ilvl w:val="0"/>
          <w:numId w:val="21"/>
        </w:numPr>
        <w:spacing w:line="360" w:lineRule="auto"/>
        <w:jc w:val="both"/>
        <w:rPr>
          <w:sz w:val="22"/>
          <w:szCs w:val="22"/>
        </w:rPr>
      </w:pPr>
      <w:r>
        <w:rPr>
          <w:sz w:val="22"/>
          <w:szCs w:val="22"/>
        </w:rPr>
        <w:t xml:space="preserve">The MFMA provides that a municipality may </w:t>
      </w:r>
      <w:r w:rsidRPr="003D607C">
        <w:rPr>
          <w:sz w:val="22"/>
          <w:szCs w:val="22"/>
        </w:rPr>
        <w:t xml:space="preserve">approve </w:t>
      </w:r>
      <w:r w:rsidRPr="003D607C">
        <w:rPr>
          <w:bCs/>
          <w:sz w:val="22"/>
          <w:szCs w:val="22"/>
        </w:rPr>
        <w:t xml:space="preserve">multi-year or single-year </w:t>
      </w:r>
      <w:r w:rsidRPr="003D607C">
        <w:rPr>
          <w:sz w:val="22"/>
          <w:szCs w:val="22"/>
        </w:rPr>
        <w:t xml:space="preserve">capital budget appropriations. </w:t>
      </w:r>
      <w:r w:rsidR="000E381F">
        <w:rPr>
          <w:sz w:val="22"/>
          <w:szCs w:val="22"/>
        </w:rPr>
        <w:t xml:space="preserve"> </w:t>
      </w:r>
      <w:r w:rsidRPr="003D607C">
        <w:rPr>
          <w:sz w:val="22"/>
          <w:szCs w:val="22"/>
        </w:rPr>
        <w:t xml:space="preserve">In relation to multi-year appropriations, for </w:t>
      </w:r>
      <w:r w:rsidR="006706E5">
        <w:rPr>
          <w:sz w:val="22"/>
          <w:szCs w:val="22"/>
        </w:rPr>
        <w:t>20</w:t>
      </w:r>
      <w:r w:rsidR="006A3740">
        <w:rPr>
          <w:sz w:val="22"/>
          <w:szCs w:val="22"/>
        </w:rPr>
        <w:t>20</w:t>
      </w:r>
      <w:r w:rsidR="006706E5">
        <w:rPr>
          <w:sz w:val="22"/>
          <w:szCs w:val="22"/>
        </w:rPr>
        <w:t>/</w:t>
      </w:r>
      <w:r w:rsidR="004C44C9">
        <w:rPr>
          <w:sz w:val="22"/>
          <w:szCs w:val="22"/>
        </w:rPr>
        <w:t>2</w:t>
      </w:r>
      <w:r w:rsidR="006A3740">
        <w:rPr>
          <w:sz w:val="22"/>
          <w:szCs w:val="22"/>
        </w:rPr>
        <w:t>1</w:t>
      </w:r>
      <w:r w:rsidR="004C44C9">
        <w:rPr>
          <w:sz w:val="22"/>
          <w:szCs w:val="22"/>
        </w:rPr>
        <w:t>,</w:t>
      </w:r>
      <w:r w:rsidR="007C7C2C">
        <w:rPr>
          <w:sz w:val="22"/>
          <w:szCs w:val="22"/>
        </w:rPr>
        <w:t xml:space="preserve"> </w:t>
      </w:r>
      <w:r w:rsidRPr="003D607C">
        <w:rPr>
          <w:sz w:val="22"/>
          <w:szCs w:val="22"/>
        </w:rPr>
        <w:t>R</w:t>
      </w:r>
      <w:r w:rsidR="00FE7E90">
        <w:rPr>
          <w:sz w:val="22"/>
          <w:szCs w:val="22"/>
        </w:rPr>
        <w:t xml:space="preserve"> </w:t>
      </w:r>
      <w:r w:rsidR="006A3740">
        <w:rPr>
          <w:sz w:val="22"/>
          <w:szCs w:val="22"/>
        </w:rPr>
        <w:t>620</w:t>
      </w:r>
      <w:r w:rsidR="00FE7E90">
        <w:rPr>
          <w:sz w:val="22"/>
          <w:szCs w:val="22"/>
        </w:rPr>
        <w:t>.</w:t>
      </w:r>
      <w:r w:rsidR="006A3740">
        <w:rPr>
          <w:sz w:val="22"/>
          <w:szCs w:val="22"/>
        </w:rPr>
        <w:t>5</w:t>
      </w:r>
      <w:r w:rsidR="00B8195C">
        <w:rPr>
          <w:sz w:val="22"/>
          <w:szCs w:val="22"/>
        </w:rPr>
        <w:t xml:space="preserve"> m</w:t>
      </w:r>
      <w:r w:rsidRPr="003D607C">
        <w:rPr>
          <w:sz w:val="22"/>
          <w:szCs w:val="22"/>
        </w:rPr>
        <w:t>illion has</w:t>
      </w:r>
      <w:r>
        <w:rPr>
          <w:sz w:val="22"/>
          <w:szCs w:val="22"/>
        </w:rPr>
        <w:t xml:space="preserve"> been allocated</w:t>
      </w:r>
      <w:r w:rsidR="006E1A4A">
        <w:rPr>
          <w:sz w:val="22"/>
          <w:szCs w:val="22"/>
        </w:rPr>
        <w:t>, which</w:t>
      </w:r>
      <w:r>
        <w:rPr>
          <w:sz w:val="22"/>
          <w:szCs w:val="22"/>
        </w:rPr>
        <w:t xml:space="preserve"> totals</w:t>
      </w:r>
      <w:r w:rsidR="006E1A4A">
        <w:rPr>
          <w:sz w:val="22"/>
          <w:szCs w:val="22"/>
        </w:rPr>
        <w:t xml:space="preserve"> </w:t>
      </w:r>
      <w:r w:rsidR="006E1A4A" w:rsidRPr="000C0501">
        <w:rPr>
          <w:color w:val="auto"/>
          <w:sz w:val="22"/>
          <w:szCs w:val="22"/>
        </w:rPr>
        <w:t>to</w:t>
      </w:r>
      <w:r w:rsidRPr="000C0501">
        <w:rPr>
          <w:color w:val="auto"/>
          <w:sz w:val="22"/>
          <w:szCs w:val="22"/>
        </w:rPr>
        <w:t xml:space="preserve"> </w:t>
      </w:r>
      <w:r w:rsidR="006A3740">
        <w:rPr>
          <w:color w:val="auto"/>
          <w:sz w:val="22"/>
          <w:szCs w:val="22"/>
        </w:rPr>
        <w:t>100</w:t>
      </w:r>
      <w:r w:rsidR="004C44C9">
        <w:rPr>
          <w:color w:val="auto"/>
          <w:sz w:val="22"/>
          <w:szCs w:val="22"/>
        </w:rPr>
        <w:t xml:space="preserve"> </w:t>
      </w:r>
      <w:r w:rsidR="00660083" w:rsidRPr="000C0501">
        <w:rPr>
          <w:color w:val="auto"/>
          <w:sz w:val="22"/>
          <w:szCs w:val="22"/>
        </w:rPr>
        <w:t>%</w:t>
      </w:r>
      <w:r w:rsidR="00D4316D" w:rsidRPr="000C0501">
        <w:rPr>
          <w:color w:val="auto"/>
          <w:sz w:val="22"/>
          <w:szCs w:val="22"/>
        </w:rPr>
        <w:t xml:space="preserve"> </w:t>
      </w:r>
      <w:r w:rsidR="00D4316D">
        <w:rPr>
          <w:sz w:val="22"/>
          <w:szCs w:val="22"/>
        </w:rPr>
        <w:t>of total capital budget</w:t>
      </w:r>
      <w:r>
        <w:rPr>
          <w:sz w:val="22"/>
          <w:szCs w:val="22"/>
        </w:rPr>
        <w:t xml:space="preserve">. </w:t>
      </w:r>
      <w:r w:rsidR="000E381F">
        <w:rPr>
          <w:sz w:val="22"/>
          <w:szCs w:val="22"/>
        </w:rPr>
        <w:t xml:space="preserve"> </w:t>
      </w:r>
      <w:r>
        <w:rPr>
          <w:sz w:val="22"/>
          <w:szCs w:val="22"/>
        </w:rPr>
        <w:t xml:space="preserve">This allocation </w:t>
      </w:r>
      <w:r w:rsidR="006A3740">
        <w:rPr>
          <w:sz w:val="22"/>
          <w:szCs w:val="22"/>
        </w:rPr>
        <w:t>de</w:t>
      </w:r>
      <w:r w:rsidR="009B0DE9">
        <w:rPr>
          <w:sz w:val="22"/>
          <w:szCs w:val="22"/>
        </w:rPr>
        <w:t>crea</w:t>
      </w:r>
      <w:r w:rsidR="00A667BA">
        <w:rPr>
          <w:sz w:val="22"/>
          <w:szCs w:val="22"/>
        </w:rPr>
        <w:t xml:space="preserve">ses </w:t>
      </w:r>
      <w:r>
        <w:rPr>
          <w:sz w:val="22"/>
          <w:szCs w:val="22"/>
        </w:rPr>
        <w:t>to R</w:t>
      </w:r>
      <w:r w:rsidR="007C7C2C">
        <w:rPr>
          <w:sz w:val="22"/>
          <w:szCs w:val="22"/>
        </w:rPr>
        <w:t xml:space="preserve"> </w:t>
      </w:r>
      <w:r w:rsidR="006A3740">
        <w:rPr>
          <w:sz w:val="22"/>
          <w:szCs w:val="22"/>
        </w:rPr>
        <w:t>569</w:t>
      </w:r>
      <w:r w:rsidR="00FE7E90">
        <w:rPr>
          <w:sz w:val="22"/>
          <w:szCs w:val="22"/>
        </w:rPr>
        <w:t>.</w:t>
      </w:r>
      <w:r w:rsidR="006A3740">
        <w:rPr>
          <w:sz w:val="22"/>
          <w:szCs w:val="22"/>
        </w:rPr>
        <w:t>5</w:t>
      </w:r>
      <w:r w:rsidRPr="007C7C2C">
        <w:rPr>
          <w:color w:val="FF0000"/>
          <w:sz w:val="22"/>
          <w:szCs w:val="22"/>
        </w:rPr>
        <w:t xml:space="preserve"> </w:t>
      </w:r>
      <w:r w:rsidR="00B8195C">
        <w:rPr>
          <w:sz w:val="22"/>
          <w:szCs w:val="22"/>
        </w:rPr>
        <w:t>m</w:t>
      </w:r>
      <w:r>
        <w:rPr>
          <w:sz w:val="22"/>
          <w:szCs w:val="22"/>
        </w:rPr>
        <w:t>illion in 20</w:t>
      </w:r>
      <w:r w:rsidR="004C44C9">
        <w:rPr>
          <w:sz w:val="22"/>
          <w:szCs w:val="22"/>
        </w:rPr>
        <w:t>2</w:t>
      </w:r>
      <w:r w:rsidR="006A3740">
        <w:rPr>
          <w:sz w:val="22"/>
          <w:szCs w:val="22"/>
        </w:rPr>
        <w:t>1</w:t>
      </w:r>
      <w:r>
        <w:rPr>
          <w:sz w:val="22"/>
          <w:szCs w:val="22"/>
        </w:rPr>
        <w:t>/</w:t>
      </w:r>
      <w:r w:rsidR="007C7C2C">
        <w:rPr>
          <w:sz w:val="22"/>
          <w:szCs w:val="22"/>
        </w:rPr>
        <w:t>2</w:t>
      </w:r>
      <w:r w:rsidR="006A3740">
        <w:rPr>
          <w:sz w:val="22"/>
          <w:szCs w:val="22"/>
        </w:rPr>
        <w:t>2</w:t>
      </w:r>
      <w:r>
        <w:rPr>
          <w:sz w:val="22"/>
          <w:szCs w:val="22"/>
        </w:rPr>
        <w:t xml:space="preserve"> and </w:t>
      </w:r>
      <w:r w:rsidR="009B0DE9">
        <w:rPr>
          <w:sz w:val="22"/>
          <w:szCs w:val="22"/>
        </w:rPr>
        <w:t xml:space="preserve">decreases </w:t>
      </w:r>
      <w:r>
        <w:rPr>
          <w:sz w:val="22"/>
          <w:szCs w:val="22"/>
        </w:rPr>
        <w:t xml:space="preserve">to </w:t>
      </w:r>
      <w:r w:rsidRPr="00D4316D">
        <w:rPr>
          <w:color w:val="auto"/>
          <w:sz w:val="22"/>
          <w:szCs w:val="22"/>
        </w:rPr>
        <w:t>R</w:t>
      </w:r>
      <w:r w:rsidR="007C7C2C">
        <w:rPr>
          <w:color w:val="auto"/>
          <w:sz w:val="22"/>
          <w:szCs w:val="22"/>
        </w:rPr>
        <w:t xml:space="preserve"> </w:t>
      </w:r>
      <w:r w:rsidR="006A3740">
        <w:rPr>
          <w:color w:val="auto"/>
          <w:sz w:val="22"/>
          <w:szCs w:val="22"/>
        </w:rPr>
        <w:t>481</w:t>
      </w:r>
      <w:r w:rsidR="009B0DE9">
        <w:rPr>
          <w:color w:val="auto"/>
          <w:sz w:val="22"/>
          <w:szCs w:val="22"/>
        </w:rPr>
        <w:t>.</w:t>
      </w:r>
      <w:r w:rsidR="006A3740">
        <w:rPr>
          <w:color w:val="auto"/>
          <w:sz w:val="22"/>
          <w:szCs w:val="22"/>
        </w:rPr>
        <w:t>8</w:t>
      </w:r>
      <w:r w:rsidRPr="0089657D">
        <w:rPr>
          <w:color w:val="FF0000"/>
          <w:sz w:val="22"/>
          <w:szCs w:val="22"/>
        </w:rPr>
        <w:t xml:space="preserve"> </w:t>
      </w:r>
      <w:r w:rsidR="00B8195C">
        <w:rPr>
          <w:sz w:val="22"/>
          <w:szCs w:val="22"/>
        </w:rPr>
        <w:t>million in 20</w:t>
      </w:r>
      <w:r w:rsidR="007C7C2C">
        <w:rPr>
          <w:sz w:val="22"/>
          <w:szCs w:val="22"/>
        </w:rPr>
        <w:t>2</w:t>
      </w:r>
      <w:r w:rsidR="006A3740">
        <w:rPr>
          <w:sz w:val="22"/>
          <w:szCs w:val="22"/>
        </w:rPr>
        <w:t>2</w:t>
      </w:r>
      <w:r w:rsidR="00B8195C">
        <w:rPr>
          <w:sz w:val="22"/>
          <w:szCs w:val="22"/>
        </w:rPr>
        <w:t>/</w:t>
      </w:r>
      <w:r w:rsidR="00A667BA">
        <w:rPr>
          <w:sz w:val="22"/>
          <w:szCs w:val="22"/>
        </w:rPr>
        <w:t>2</w:t>
      </w:r>
      <w:r w:rsidR="006A3740">
        <w:rPr>
          <w:sz w:val="22"/>
          <w:szCs w:val="22"/>
        </w:rPr>
        <w:t>3</w:t>
      </w:r>
      <w:r w:rsidR="00B8195C">
        <w:rPr>
          <w:sz w:val="22"/>
          <w:szCs w:val="22"/>
        </w:rPr>
        <w:t xml:space="preserve">. </w:t>
      </w:r>
    </w:p>
    <w:p w:rsidR="00AD2129" w:rsidRPr="00B7234E" w:rsidRDefault="00FA3A69" w:rsidP="00B079F4">
      <w:pPr>
        <w:pStyle w:val="Default"/>
        <w:numPr>
          <w:ilvl w:val="0"/>
          <w:numId w:val="21"/>
        </w:numPr>
        <w:spacing w:line="360" w:lineRule="auto"/>
        <w:jc w:val="both"/>
        <w:rPr>
          <w:sz w:val="22"/>
          <w:szCs w:val="22"/>
        </w:rPr>
      </w:pPr>
      <w:r w:rsidRPr="00B7234E">
        <w:rPr>
          <w:sz w:val="22"/>
          <w:szCs w:val="22"/>
        </w:rPr>
        <w:t xml:space="preserve">The capital programme is funded from </w:t>
      </w:r>
      <w:r w:rsidR="00FE7E90">
        <w:rPr>
          <w:sz w:val="22"/>
          <w:szCs w:val="22"/>
        </w:rPr>
        <w:t xml:space="preserve">National </w:t>
      </w:r>
      <w:r w:rsidRPr="00B7234E">
        <w:rPr>
          <w:sz w:val="22"/>
          <w:szCs w:val="22"/>
        </w:rPr>
        <w:t xml:space="preserve">and </w:t>
      </w:r>
      <w:r w:rsidR="00911B6D" w:rsidRPr="00B7234E">
        <w:rPr>
          <w:sz w:val="22"/>
          <w:szCs w:val="22"/>
        </w:rPr>
        <w:t>provincial grants transfers.</w:t>
      </w:r>
      <w:r w:rsidRPr="00B7234E">
        <w:rPr>
          <w:sz w:val="22"/>
          <w:szCs w:val="22"/>
        </w:rPr>
        <w:t xml:space="preserve"> For </w:t>
      </w:r>
      <w:r w:rsidR="006A3740">
        <w:rPr>
          <w:sz w:val="22"/>
          <w:szCs w:val="22"/>
        </w:rPr>
        <w:t>2020</w:t>
      </w:r>
      <w:r w:rsidR="006706E5" w:rsidRPr="00B7234E">
        <w:rPr>
          <w:sz w:val="22"/>
          <w:szCs w:val="22"/>
        </w:rPr>
        <w:t>/</w:t>
      </w:r>
      <w:r w:rsidR="009B0DE9">
        <w:rPr>
          <w:sz w:val="22"/>
          <w:szCs w:val="22"/>
        </w:rPr>
        <w:t>2</w:t>
      </w:r>
      <w:r w:rsidR="006A3740">
        <w:rPr>
          <w:sz w:val="22"/>
          <w:szCs w:val="22"/>
        </w:rPr>
        <w:t>1</w:t>
      </w:r>
      <w:r w:rsidRPr="00B7234E">
        <w:rPr>
          <w:sz w:val="22"/>
          <w:szCs w:val="22"/>
        </w:rPr>
        <w:t>, capital transfers totals R</w:t>
      </w:r>
      <w:r w:rsidR="00446BD9">
        <w:rPr>
          <w:sz w:val="22"/>
          <w:szCs w:val="22"/>
        </w:rPr>
        <w:t xml:space="preserve"> </w:t>
      </w:r>
      <w:r w:rsidR="006A3740">
        <w:rPr>
          <w:sz w:val="22"/>
          <w:szCs w:val="22"/>
        </w:rPr>
        <w:t>620</w:t>
      </w:r>
      <w:r w:rsidR="00FE7E90">
        <w:rPr>
          <w:sz w:val="22"/>
          <w:szCs w:val="22"/>
        </w:rPr>
        <w:t>.</w:t>
      </w:r>
      <w:r w:rsidR="006A3740">
        <w:rPr>
          <w:sz w:val="22"/>
          <w:szCs w:val="22"/>
        </w:rPr>
        <w:t>5</w:t>
      </w:r>
      <w:r w:rsidR="003B24C5" w:rsidRPr="00446BD9">
        <w:rPr>
          <w:color w:val="FF0000"/>
          <w:sz w:val="22"/>
          <w:szCs w:val="22"/>
        </w:rPr>
        <w:t xml:space="preserve"> </w:t>
      </w:r>
      <w:r w:rsidR="003B24C5" w:rsidRPr="00B7234E">
        <w:rPr>
          <w:sz w:val="22"/>
          <w:szCs w:val="22"/>
        </w:rPr>
        <w:t>million</w:t>
      </w:r>
      <w:r w:rsidRPr="00B7234E">
        <w:rPr>
          <w:sz w:val="22"/>
          <w:szCs w:val="22"/>
        </w:rPr>
        <w:t xml:space="preserve"> (</w:t>
      </w:r>
      <w:r w:rsidR="00EC4423" w:rsidRPr="00B7234E">
        <w:rPr>
          <w:sz w:val="22"/>
          <w:szCs w:val="22"/>
        </w:rPr>
        <w:t>100</w:t>
      </w:r>
      <w:r w:rsidRPr="00B7234E">
        <w:rPr>
          <w:sz w:val="22"/>
          <w:szCs w:val="22"/>
        </w:rPr>
        <w:t xml:space="preserve"> </w:t>
      </w:r>
      <w:r w:rsidR="00660083" w:rsidRPr="00B7234E">
        <w:rPr>
          <w:sz w:val="22"/>
          <w:szCs w:val="22"/>
        </w:rPr>
        <w:t>%</w:t>
      </w:r>
      <w:r w:rsidRPr="00B7234E">
        <w:rPr>
          <w:sz w:val="22"/>
          <w:szCs w:val="22"/>
        </w:rPr>
        <w:t xml:space="preserve">) and </w:t>
      </w:r>
      <w:r w:rsidR="006A3740">
        <w:rPr>
          <w:sz w:val="22"/>
          <w:szCs w:val="22"/>
        </w:rPr>
        <w:t>de</w:t>
      </w:r>
      <w:r w:rsidR="009B0DE9">
        <w:rPr>
          <w:sz w:val="22"/>
          <w:szCs w:val="22"/>
        </w:rPr>
        <w:t xml:space="preserve">crease </w:t>
      </w:r>
      <w:r w:rsidR="00654773" w:rsidRPr="00B7234E">
        <w:rPr>
          <w:sz w:val="22"/>
          <w:szCs w:val="22"/>
        </w:rPr>
        <w:t>to</w:t>
      </w:r>
      <w:r w:rsidRPr="00B7234E">
        <w:rPr>
          <w:sz w:val="22"/>
          <w:szCs w:val="22"/>
        </w:rPr>
        <w:t xml:space="preserve"> R</w:t>
      </w:r>
      <w:r w:rsidR="00446BD9">
        <w:rPr>
          <w:sz w:val="22"/>
          <w:szCs w:val="22"/>
        </w:rPr>
        <w:t xml:space="preserve"> </w:t>
      </w:r>
      <w:r w:rsidR="006A3740">
        <w:rPr>
          <w:sz w:val="22"/>
          <w:szCs w:val="22"/>
        </w:rPr>
        <w:t>569.5</w:t>
      </w:r>
      <w:r w:rsidRPr="00446BD9">
        <w:rPr>
          <w:color w:val="FF0000"/>
          <w:sz w:val="22"/>
          <w:szCs w:val="22"/>
        </w:rPr>
        <w:t xml:space="preserve"> </w:t>
      </w:r>
      <w:r w:rsidR="00EC4423" w:rsidRPr="00B7234E">
        <w:rPr>
          <w:sz w:val="22"/>
          <w:szCs w:val="22"/>
        </w:rPr>
        <w:t>m</w:t>
      </w:r>
      <w:r w:rsidRPr="00B7234E">
        <w:rPr>
          <w:sz w:val="22"/>
          <w:szCs w:val="22"/>
        </w:rPr>
        <w:t>illion by 20</w:t>
      </w:r>
      <w:r w:rsidR="00446BD9">
        <w:rPr>
          <w:sz w:val="22"/>
          <w:szCs w:val="22"/>
        </w:rPr>
        <w:t>2</w:t>
      </w:r>
      <w:r w:rsidR="006A3740">
        <w:rPr>
          <w:sz w:val="22"/>
          <w:szCs w:val="22"/>
        </w:rPr>
        <w:t>1</w:t>
      </w:r>
      <w:r w:rsidRPr="00B7234E">
        <w:rPr>
          <w:sz w:val="22"/>
          <w:szCs w:val="22"/>
        </w:rPr>
        <w:t>/</w:t>
      </w:r>
      <w:r w:rsidR="00AD2129" w:rsidRPr="00B7234E">
        <w:rPr>
          <w:sz w:val="22"/>
          <w:szCs w:val="22"/>
        </w:rPr>
        <w:t>2</w:t>
      </w:r>
      <w:r w:rsidR="006A3740">
        <w:rPr>
          <w:sz w:val="22"/>
          <w:szCs w:val="22"/>
        </w:rPr>
        <w:t>2</w:t>
      </w:r>
      <w:r w:rsidRPr="00B7234E">
        <w:rPr>
          <w:sz w:val="22"/>
          <w:szCs w:val="22"/>
        </w:rPr>
        <w:t xml:space="preserve"> (</w:t>
      </w:r>
      <w:r w:rsidR="00325727">
        <w:rPr>
          <w:sz w:val="22"/>
          <w:szCs w:val="22"/>
        </w:rPr>
        <w:t>9</w:t>
      </w:r>
      <w:r w:rsidRPr="00B7234E">
        <w:rPr>
          <w:sz w:val="22"/>
          <w:szCs w:val="22"/>
        </w:rPr>
        <w:t xml:space="preserve"> </w:t>
      </w:r>
      <w:r w:rsidR="00660083" w:rsidRPr="00B7234E">
        <w:rPr>
          <w:sz w:val="22"/>
          <w:szCs w:val="22"/>
        </w:rPr>
        <w:t>%</w:t>
      </w:r>
      <w:r w:rsidRPr="00B7234E">
        <w:rPr>
          <w:sz w:val="22"/>
          <w:szCs w:val="22"/>
        </w:rPr>
        <w:t xml:space="preserve">). </w:t>
      </w:r>
      <w:r w:rsidR="000E381F" w:rsidRPr="00B7234E">
        <w:rPr>
          <w:sz w:val="22"/>
          <w:szCs w:val="22"/>
        </w:rPr>
        <w:t xml:space="preserve"> </w:t>
      </w:r>
      <w:r w:rsidR="00AD2129" w:rsidRPr="00B7234E">
        <w:rPr>
          <w:sz w:val="22"/>
          <w:szCs w:val="22"/>
        </w:rPr>
        <w:t xml:space="preserve">The </w:t>
      </w:r>
      <w:r w:rsidR="00EC4423" w:rsidRPr="00B7234E">
        <w:rPr>
          <w:sz w:val="22"/>
          <w:szCs w:val="22"/>
        </w:rPr>
        <w:t xml:space="preserve">municipality is solely dependent on grant funding to fund the </w:t>
      </w:r>
      <w:r w:rsidR="00654773" w:rsidRPr="00B7234E">
        <w:rPr>
          <w:sz w:val="22"/>
          <w:szCs w:val="22"/>
        </w:rPr>
        <w:t>capital</w:t>
      </w:r>
      <w:bookmarkStart w:id="60" w:name="_Toc287342464"/>
      <w:bookmarkStart w:id="61" w:name="_Toc415060220"/>
      <w:r w:rsidR="00B7234E">
        <w:rPr>
          <w:sz w:val="22"/>
          <w:szCs w:val="22"/>
        </w:rPr>
        <w:t xml:space="preserve"> budget, to improve its infrastructure and deal with basic services backlogs.</w:t>
      </w:r>
    </w:p>
    <w:p w:rsidR="00AD2129" w:rsidRDefault="00AD2129" w:rsidP="00AD2129">
      <w:pPr>
        <w:pStyle w:val="Default"/>
        <w:spacing w:line="360" w:lineRule="auto"/>
        <w:jc w:val="both"/>
        <w:rPr>
          <w:sz w:val="22"/>
          <w:szCs w:val="22"/>
        </w:rPr>
      </w:pPr>
    </w:p>
    <w:p w:rsidR="00AD2129" w:rsidRDefault="00AD2129" w:rsidP="00AD2129">
      <w:pPr>
        <w:pStyle w:val="Default"/>
        <w:spacing w:line="360" w:lineRule="auto"/>
        <w:jc w:val="both"/>
        <w:rPr>
          <w:sz w:val="22"/>
          <w:szCs w:val="22"/>
        </w:rPr>
      </w:pPr>
    </w:p>
    <w:p w:rsidR="00AD2129" w:rsidRDefault="00AD2129" w:rsidP="00AD2129">
      <w:pPr>
        <w:pStyle w:val="Default"/>
        <w:spacing w:line="360" w:lineRule="auto"/>
        <w:jc w:val="both"/>
        <w:rPr>
          <w:sz w:val="22"/>
          <w:szCs w:val="22"/>
        </w:rPr>
      </w:pPr>
    </w:p>
    <w:p w:rsidR="00AD2129" w:rsidRPr="000C6071" w:rsidRDefault="00AD2129" w:rsidP="00AD2129">
      <w:pPr>
        <w:pStyle w:val="Default"/>
        <w:spacing w:line="360" w:lineRule="auto"/>
        <w:jc w:val="both"/>
        <w:rPr>
          <w:color w:val="auto"/>
        </w:rPr>
      </w:pPr>
    </w:p>
    <w:p w:rsidR="00643431" w:rsidRDefault="00456AEF" w:rsidP="00643431">
      <w:pPr>
        <w:pStyle w:val="Heading3"/>
        <w:numPr>
          <w:ilvl w:val="0"/>
          <w:numId w:val="0"/>
        </w:numPr>
        <w:spacing w:line="360" w:lineRule="auto"/>
        <w:rPr>
          <w:rFonts w:ascii="Arial" w:hAnsi="Arial" w:cs="Arial"/>
          <w:color w:val="auto"/>
        </w:rPr>
      </w:pPr>
      <w:r w:rsidRPr="000C6071">
        <w:rPr>
          <w:rFonts w:ascii="Arial" w:hAnsi="Arial" w:cs="Arial"/>
          <w:color w:val="auto"/>
        </w:rPr>
        <w:t xml:space="preserve">Table </w:t>
      </w:r>
      <w:r w:rsidR="00A7260F" w:rsidRPr="000C6071">
        <w:rPr>
          <w:rFonts w:ascii="Arial" w:hAnsi="Arial" w:cs="Arial"/>
          <w:color w:val="auto"/>
        </w:rPr>
        <w:t>1</w:t>
      </w:r>
      <w:r w:rsidR="00287A64">
        <w:rPr>
          <w:rFonts w:ascii="Arial" w:hAnsi="Arial" w:cs="Arial"/>
          <w:color w:val="auto"/>
        </w:rPr>
        <w:t>3</w:t>
      </w:r>
      <w:r w:rsidR="00A7260F" w:rsidRPr="000C6071">
        <w:rPr>
          <w:rFonts w:ascii="Arial" w:hAnsi="Arial" w:cs="Arial"/>
          <w:color w:val="auto"/>
        </w:rPr>
        <w:t xml:space="preserve"> MBRR</w:t>
      </w:r>
      <w:r w:rsidRPr="000C6071">
        <w:rPr>
          <w:rFonts w:ascii="Arial" w:hAnsi="Arial" w:cs="Arial"/>
          <w:color w:val="auto"/>
        </w:rPr>
        <w:t xml:space="preserve"> </w:t>
      </w:r>
      <w:r w:rsidR="00B85BA5" w:rsidRPr="000C6071">
        <w:rPr>
          <w:rFonts w:ascii="Arial" w:hAnsi="Arial" w:cs="Arial"/>
          <w:color w:val="auto"/>
        </w:rPr>
        <w:t>Table A6</w:t>
      </w:r>
      <w:r w:rsidR="00B374C8" w:rsidRPr="000C6071">
        <w:rPr>
          <w:rFonts w:ascii="Arial" w:hAnsi="Arial" w:cs="Arial"/>
          <w:color w:val="auto"/>
        </w:rPr>
        <w:t xml:space="preserve"> -</w:t>
      </w:r>
      <w:r w:rsidR="008443CF" w:rsidRPr="000C6071">
        <w:rPr>
          <w:rFonts w:ascii="Arial" w:hAnsi="Arial" w:cs="Arial"/>
          <w:color w:val="auto"/>
        </w:rPr>
        <w:t xml:space="preserve"> </w:t>
      </w:r>
      <w:r w:rsidR="00B85BA5" w:rsidRPr="000C6071">
        <w:rPr>
          <w:rFonts w:ascii="Arial" w:hAnsi="Arial" w:cs="Arial"/>
          <w:color w:val="auto"/>
        </w:rPr>
        <w:t>Budgeted Financial Position</w:t>
      </w:r>
      <w:bookmarkEnd w:id="60"/>
      <w:bookmarkEnd w:id="61"/>
      <w:r w:rsidR="00427FE8">
        <w:rPr>
          <w:rFonts w:ascii="Arial" w:hAnsi="Arial" w:cs="Arial"/>
          <w:color w:val="auto"/>
        </w:rPr>
        <w:t xml:space="preserve">- </w:t>
      </w:r>
    </w:p>
    <w:p w:rsidR="00643431" w:rsidRPr="00643431" w:rsidRDefault="00C66278" w:rsidP="00643431">
      <w:r w:rsidRPr="00C66278">
        <w:rPr>
          <w:noProof/>
          <w:lang w:val="en-US" w:eastAsia="en-US"/>
        </w:rPr>
        <w:drawing>
          <wp:inline distT="0" distB="0" distL="0" distR="0">
            <wp:extent cx="6443340" cy="4869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49885" cy="4874126"/>
                    </a:xfrm>
                    <a:prstGeom prst="rect">
                      <a:avLst/>
                    </a:prstGeom>
                    <a:noFill/>
                    <a:ln>
                      <a:noFill/>
                    </a:ln>
                  </pic:spPr>
                </pic:pic>
              </a:graphicData>
            </a:graphic>
          </wp:inline>
        </w:drawing>
      </w:r>
    </w:p>
    <w:p w:rsidR="00112F8B" w:rsidRDefault="00112F8B" w:rsidP="00387B6B">
      <w:pPr>
        <w:spacing w:line="360" w:lineRule="auto"/>
        <w:rPr>
          <w:rFonts w:ascii="Arial" w:hAnsi="Arial" w:cs="Arial"/>
          <w:b/>
          <w:bCs/>
          <w:sz w:val="24"/>
          <w:szCs w:val="24"/>
        </w:rPr>
      </w:pPr>
      <w:r>
        <w:rPr>
          <w:rFonts w:cs="Arial"/>
          <w:sz w:val="24"/>
          <w:szCs w:val="24"/>
        </w:rPr>
        <w:br w:type="page"/>
      </w:r>
    </w:p>
    <w:p w:rsidR="00112F8B" w:rsidRDefault="00112F8B" w:rsidP="00387B6B">
      <w:pPr>
        <w:spacing w:after="0" w:line="360" w:lineRule="auto"/>
        <w:jc w:val="both"/>
        <w:rPr>
          <w:rFonts w:ascii="Arial" w:hAnsi="Arial" w:cs="Arial"/>
          <w:b/>
        </w:rPr>
      </w:pPr>
      <w:r w:rsidRPr="000A181D">
        <w:rPr>
          <w:rFonts w:ascii="Arial" w:hAnsi="Arial" w:cs="Arial"/>
          <w:b/>
        </w:rPr>
        <w:t>Explanatory notes to Table A6 - Budgeted Financial Position</w:t>
      </w:r>
      <w:r w:rsidR="00F24A9A">
        <w:rPr>
          <w:rFonts w:ascii="Arial" w:hAnsi="Arial" w:cs="Arial"/>
          <w:b/>
        </w:rPr>
        <w:t xml:space="preserve">:- </w:t>
      </w:r>
    </w:p>
    <w:p w:rsidR="00112F8B" w:rsidRPr="00112F8B" w:rsidRDefault="00112F8B" w:rsidP="00387B6B">
      <w:pPr>
        <w:spacing w:after="0" w:line="360" w:lineRule="auto"/>
        <w:jc w:val="both"/>
        <w:rPr>
          <w:rFonts w:ascii="Arial" w:hAnsi="Arial" w:cs="Arial"/>
          <w:b/>
        </w:rPr>
      </w:pPr>
    </w:p>
    <w:p w:rsidR="001E74D2" w:rsidRDefault="00FA3A69" w:rsidP="00387B6B">
      <w:pPr>
        <w:pStyle w:val="Default"/>
        <w:numPr>
          <w:ilvl w:val="0"/>
          <w:numId w:val="30"/>
        </w:numPr>
        <w:spacing w:line="360" w:lineRule="auto"/>
        <w:ind w:left="360"/>
        <w:jc w:val="both"/>
        <w:rPr>
          <w:sz w:val="22"/>
          <w:szCs w:val="22"/>
        </w:rPr>
      </w:pPr>
      <w:r w:rsidRPr="00643431">
        <w:rPr>
          <w:sz w:val="22"/>
          <w:szCs w:val="22"/>
        </w:rPr>
        <w:t>Table A6 is</w:t>
      </w:r>
      <w:r w:rsidRPr="00AB6E67">
        <w:rPr>
          <w:sz w:val="22"/>
          <w:szCs w:val="22"/>
        </w:rPr>
        <w:t xml:space="preserve"> consistent</w:t>
      </w:r>
      <w:r>
        <w:rPr>
          <w:sz w:val="22"/>
          <w:szCs w:val="22"/>
        </w:rPr>
        <w:t xml:space="preserve"> with international standards of good financial management practice, and improves </w:t>
      </w:r>
      <w:r w:rsidR="00B044A8">
        <w:rPr>
          <w:sz w:val="22"/>
          <w:szCs w:val="22"/>
        </w:rPr>
        <w:t>understand</w:t>
      </w:r>
      <w:r w:rsidR="00162D22">
        <w:rPr>
          <w:sz w:val="22"/>
          <w:szCs w:val="22"/>
        </w:rPr>
        <w:t>ability</w:t>
      </w:r>
      <w:r>
        <w:rPr>
          <w:sz w:val="22"/>
          <w:szCs w:val="22"/>
        </w:rPr>
        <w:t xml:space="preserve"> </w:t>
      </w:r>
      <w:r w:rsidR="00B044A8">
        <w:rPr>
          <w:sz w:val="22"/>
          <w:szCs w:val="22"/>
        </w:rPr>
        <w:t>by</w:t>
      </w:r>
      <w:r>
        <w:rPr>
          <w:sz w:val="22"/>
          <w:szCs w:val="22"/>
        </w:rPr>
        <w:t xml:space="preserve"> </w:t>
      </w:r>
      <w:r w:rsidR="00162D22">
        <w:rPr>
          <w:sz w:val="22"/>
          <w:szCs w:val="22"/>
        </w:rPr>
        <w:t>council</w:t>
      </w:r>
      <w:r>
        <w:rPr>
          <w:sz w:val="22"/>
          <w:szCs w:val="22"/>
        </w:rPr>
        <w:t xml:space="preserve"> and management of the impact of the budget on the statement of financial position (balance sheet).</w:t>
      </w:r>
    </w:p>
    <w:p w:rsidR="001E74D2" w:rsidRDefault="00FA3A69" w:rsidP="00387B6B">
      <w:pPr>
        <w:pStyle w:val="Default"/>
        <w:numPr>
          <w:ilvl w:val="0"/>
          <w:numId w:val="30"/>
        </w:numPr>
        <w:spacing w:line="360" w:lineRule="auto"/>
        <w:ind w:left="360"/>
        <w:jc w:val="both"/>
        <w:rPr>
          <w:sz w:val="22"/>
          <w:szCs w:val="22"/>
        </w:rPr>
      </w:pPr>
      <w:r w:rsidRPr="001E74D2">
        <w:rPr>
          <w:sz w:val="22"/>
          <w:szCs w:val="22"/>
        </w:rPr>
        <w:t xml:space="preserve">This format of presenting the statement of financial position is aligned to GRAP1, which is generally aligned to the international version which presents Assets less Liabilities as “accounting” Community Wealth. </w:t>
      </w:r>
      <w:r w:rsidR="000E381F">
        <w:rPr>
          <w:sz w:val="22"/>
          <w:szCs w:val="22"/>
        </w:rPr>
        <w:t xml:space="preserve"> </w:t>
      </w:r>
      <w:r w:rsidRPr="001E74D2">
        <w:rPr>
          <w:sz w:val="22"/>
          <w:szCs w:val="22"/>
        </w:rPr>
        <w:t>The order of items within each group illustrates items in order of liquidity; i.e. assets readily converted to cash, or liabilities immediately required to be met from cash, appear first.</w:t>
      </w:r>
    </w:p>
    <w:p w:rsidR="00FA3A69" w:rsidRPr="001E74D2" w:rsidRDefault="00FA3A69" w:rsidP="00387B6B">
      <w:pPr>
        <w:pStyle w:val="Default"/>
        <w:numPr>
          <w:ilvl w:val="0"/>
          <w:numId w:val="30"/>
        </w:numPr>
        <w:spacing w:line="360" w:lineRule="auto"/>
        <w:ind w:left="360"/>
        <w:jc w:val="both"/>
        <w:rPr>
          <w:sz w:val="22"/>
          <w:szCs w:val="22"/>
        </w:rPr>
      </w:pPr>
      <w:r w:rsidRPr="001E74D2">
        <w:rPr>
          <w:sz w:val="22"/>
          <w:szCs w:val="22"/>
        </w:rPr>
        <w:t xml:space="preserve">Table </w:t>
      </w:r>
      <w:r w:rsidR="006F6D63">
        <w:rPr>
          <w:sz w:val="22"/>
          <w:szCs w:val="22"/>
        </w:rPr>
        <w:t>6</w:t>
      </w:r>
      <w:r w:rsidRPr="001E74D2">
        <w:rPr>
          <w:sz w:val="22"/>
          <w:szCs w:val="22"/>
        </w:rPr>
        <w:t xml:space="preserve"> is supported by an extensive table of notes</w:t>
      </w:r>
      <w:r w:rsidR="00D04160">
        <w:rPr>
          <w:sz w:val="22"/>
          <w:szCs w:val="22"/>
        </w:rPr>
        <w:t xml:space="preserve"> in supporting table</w:t>
      </w:r>
      <w:r w:rsidRPr="001E74D2">
        <w:rPr>
          <w:sz w:val="22"/>
          <w:szCs w:val="22"/>
        </w:rPr>
        <w:t xml:space="preserve"> SA3 providing a detailed analysis of the major components of a number of items, including:</w:t>
      </w:r>
    </w:p>
    <w:p w:rsidR="00FA3A69" w:rsidRPr="00B94E79" w:rsidRDefault="00FA3A69" w:rsidP="00387B6B">
      <w:pPr>
        <w:pStyle w:val="ListParagraph"/>
        <w:numPr>
          <w:ilvl w:val="0"/>
          <w:numId w:val="28"/>
        </w:numPr>
        <w:spacing w:after="0" w:line="360" w:lineRule="auto"/>
        <w:jc w:val="both"/>
        <w:rPr>
          <w:rFonts w:ascii="Arial" w:eastAsia="Times New Roman" w:hAnsi="Arial" w:cs="Arial"/>
          <w:lang w:val="en-GB"/>
        </w:rPr>
      </w:pPr>
      <w:r w:rsidRPr="00B94E79">
        <w:rPr>
          <w:rFonts w:ascii="Arial" w:eastAsia="Times New Roman" w:hAnsi="Arial" w:cs="Arial"/>
          <w:lang w:val="en-GB"/>
        </w:rPr>
        <w:t>Call investments deposits;</w:t>
      </w:r>
    </w:p>
    <w:p w:rsidR="00FA3A69" w:rsidRPr="00B94E79" w:rsidRDefault="00FA3A69" w:rsidP="00387B6B">
      <w:pPr>
        <w:pStyle w:val="ListParagraph"/>
        <w:numPr>
          <w:ilvl w:val="0"/>
          <w:numId w:val="29"/>
        </w:numPr>
        <w:spacing w:after="0" w:line="360" w:lineRule="auto"/>
        <w:jc w:val="both"/>
        <w:rPr>
          <w:rFonts w:ascii="Arial" w:eastAsia="Times New Roman" w:hAnsi="Arial" w:cs="Arial"/>
          <w:lang w:val="en-GB"/>
        </w:rPr>
      </w:pPr>
      <w:r w:rsidRPr="00B94E79">
        <w:rPr>
          <w:rFonts w:ascii="Arial" w:eastAsia="Times New Roman" w:hAnsi="Arial" w:cs="Arial"/>
          <w:lang w:val="en-GB"/>
        </w:rPr>
        <w:t>Consumer debtors;</w:t>
      </w:r>
    </w:p>
    <w:p w:rsidR="00FA3A69" w:rsidRPr="00B94E79" w:rsidRDefault="00FA3A69" w:rsidP="00387B6B">
      <w:pPr>
        <w:pStyle w:val="ListParagraph"/>
        <w:numPr>
          <w:ilvl w:val="0"/>
          <w:numId w:val="29"/>
        </w:numPr>
        <w:spacing w:after="0" w:line="360" w:lineRule="auto"/>
        <w:jc w:val="both"/>
        <w:rPr>
          <w:rFonts w:ascii="Arial" w:eastAsia="Times New Roman" w:hAnsi="Arial" w:cs="Arial"/>
          <w:lang w:val="en-GB"/>
        </w:rPr>
      </w:pPr>
      <w:r w:rsidRPr="00B94E79">
        <w:rPr>
          <w:rFonts w:ascii="Arial" w:eastAsia="Times New Roman" w:hAnsi="Arial" w:cs="Arial"/>
          <w:lang w:val="en-GB"/>
        </w:rPr>
        <w:t>Property, plant and equipment;</w:t>
      </w:r>
    </w:p>
    <w:p w:rsidR="00FA3A69" w:rsidRPr="00B94E79" w:rsidRDefault="00FA3A69" w:rsidP="00387B6B">
      <w:pPr>
        <w:pStyle w:val="ListParagraph"/>
        <w:numPr>
          <w:ilvl w:val="0"/>
          <w:numId w:val="29"/>
        </w:numPr>
        <w:spacing w:after="0" w:line="360" w:lineRule="auto"/>
        <w:jc w:val="both"/>
        <w:rPr>
          <w:rFonts w:ascii="Arial" w:eastAsia="Times New Roman" w:hAnsi="Arial" w:cs="Arial"/>
          <w:lang w:val="en-GB"/>
        </w:rPr>
      </w:pPr>
      <w:r w:rsidRPr="00B94E79">
        <w:rPr>
          <w:rFonts w:ascii="Arial" w:eastAsia="Times New Roman" w:hAnsi="Arial" w:cs="Arial"/>
          <w:lang w:val="en-GB"/>
        </w:rPr>
        <w:t>Trade and other payables;</w:t>
      </w:r>
    </w:p>
    <w:p w:rsidR="00FA3A69" w:rsidRPr="00B94E79" w:rsidRDefault="00D04160" w:rsidP="00387B6B">
      <w:pPr>
        <w:pStyle w:val="ListParagraph"/>
        <w:numPr>
          <w:ilvl w:val="0"/>
          <w:numId w:val="29"/>
        </w:numPr>
        <w:spacing w:after="0" w:line="360" w:lineRule="auto"/>
        <w:jc w:val="both"/>
        <w:rPr>
          <w:rFonts w:ascii="Arial" w:eastAsia="Times New Roman" w:hAnsi="Arial" w:cs="Arial"/>
          <w:lang w:val="en-GB"/>
        </w:rPr>
      </w:pPr>
      <w:r>
        <w:rPr>
          <w:rFonts w:ascii="Arial" w:eastAsia="Times New Roman" w:hAnsi="Arial" w:cs="Arial"/>
          <w:lang w:val="en-GB"/>
        </w:rPr>
        <w:t>Non-current p</w:t>
      </w:r>
      <w:r w:rsidR="00FA3A69" w:rsidRPr="00B94E79">
        <w:rPr>
          <w:rFonts w:ascii="Arial" w:eastAsia="Times New Roman" w:hAnsi="Arial" w:cs="Arial"/>
          <w:lang w:val="en-GB"/>
        </w:rPr>
        <w:t>rovisions ;</w:t>
      </w:r>
    </w:p>
    <w:p w:rsidR="00FA3A69" w:rsidRPr="00B94E79" w:rsidRDefault="00FA3A69" w:rsidP="00387B6B">
      <w:pPr>
        <w:pStyle w:val="ListParagraph"/>
        <w:numPr>
          <w:ilvl w:val="0"/>
          <w:numId w:val="29"/>
        </w:numPr>
        <w:spacing w:after="0" w:line="360" w:lineRule="auto"/>
        <w:jc w:val="both"/>
        <w:rPr>
          <w:rFonts w:ascii="Arial" w:eastAsia="Times New Roman" w:hAnsi="Arial" w:cs="Arial"/>
          <w:lang w:val="en-GB"/>
        </w:rPr>
      </w:pPr>
      <w:r w:rsidRPr="00B94E79">
        <w:rPr>
          <w:rFonts w:ascii="Arial" w:eastAsia="Times New Roman" w:hAnsi="Arial" w:cs="Arial"/>
          <w:lang w:val="en-GB"/>
        </w:rPr>
        <w:t xml:space="preserve">Changes in net assets; and </w:t>
      </w:r>
    </w:p>
    <w:p w:rsidR="00FA3A69" w:rsidRPr="00B94E79" w:rsidRDefault="00D04160" w:rsidP="00387B6B">
      <w:pPr>
        <w:pStyle w:val="ListParagraph"/>
        <w:numPr>
          <w:ilvl w:val="0"/>
          <w:numId w:val="29"/>
        </w:numPr>
        <w:spacing w:after="0" w:line="360" w:lineRule="auto"/>
        <w:jc w:val="both"/>
        <w:rPr>
          <w:rFonts w:ascii="Arial" w:eastAsia="Times New Roman" w:hAnsi="Arial" w:cs="Arial"/>
          <w:lang w:val="en-GB"/>
        </w:rPr>
      </w:pPr>
      <w:r w:rsidRPr="00B94E79">
        <w:rPr>
          <w:rFonts w:ascii="Arial" w:eastAsia="Times New Roman" w:hAnsi="Arial" w:cs="Arial"/>
          <w:lang w:val="en-GB"/>
        </w:rPr>
        <w:t>Reserves.</w:t>
      </w:r>
    </w:p>
    <w:p w:rsidR="001E74D2" w:rsidRDefault="00FA3A69" w:rsidP="00387B6B">
      <w:pPr>
        <w:pStyle w:val="Default"/>
        <w:numPr>
          <w:ilvl w:val="0"/>
          <w:numId w:val="30"/>
        </w:numPr>
        <w:spacing w:line="360" w:lineRule="auto"/>
        <w:ind w:left="360"/>
        <w:jc w:val="both"/>
        <w:rPr>
          <w:sz w:val="22"/>
          <w:szCs w:val="22"/>
        </w:rPr>
      </w:pPr>
      <w:r w:rsidRPr="001E74D2">
        <w:rPr>
          <w:sz w:val="22"/>
          <w:szCs w:val="22"/>
        </w:rPr>
        <w:t xml:space="preserve">The municipal equivalent of equity is Community Wealth/Equity. </w:t>
      </w:r>
      <w:r w:rsidR="000E381F">
        <w:rPr>
          <w:sz w:val="22"/>
          <w:szCs w:val="22"/>
        </w:rPr>
        <w:t xml:space="preserve"> </w:t>
      </w:r>
      <w:r w:rsidRPr="001E74D2">
        <w:rPr>
          <w:sz w:val="22"/>
          <w:szCs w:val="22"/>
        </w:rPr>
        <w:t>The justification is that ownership and the net assets of the municipality belong to the community.</w:t>
      </w:r>
    </w:p>
    <w:p w:rsidR="00FA3A69" w:rsidRPr="001E74D2" w:rsidRDefault="00FA3A69" w:rsidP="00387B6B">
      <w:pPr>
        <w:pStyle w:val="Default"/>
        <w:numPr>
          <w:ilvl w:val="0"/>
          <w:numId w:val="30"/>
        </w:numPr>
        <w:spacing w:line="360" w:lineRule="auto"/>
        <w:ind w:left="360"/>
        <w:jc w:val="both"/>
        <w:rPr>
          <w:sz w:val="22"/>
          <w:szCs w:val="22"/>
        </w:rPr>
      </w:pPr>
      <w:r w:rsidRPr="001E74D2">
        <w:rPr>
          <w:sz w:val="22"/>
          <w:szCs w:val="22"/>
        </w:rPr>
        <w:t xml:space="preserve">Any movement on the </w:t>
      </w:r>
      <w:r w:rsidR="003D5ED1">
        <w:rPr>
          <w:sz w:val="22"/>
          <w:szCs w:val="22"/>
        </w:rPr>
        <w:t>Budgeted</w:t>
      </w:r>
      <w:r w:rsidRPr="001E74D2">
        <w:rPr>
          <w:sz w:val="22"/>
          <w:szCs w:val="22"/>
        </w:rPr>
        <w:t xml:space="preserve"> </w:t>
      </w:r>
      <w:r w:rsidR="003D5ED1">
        <w:rPr>
          <w:sz w:val="22"/>
          <w:szCs w:val="22"/>
        </w:rPr>
        <w:t>F</w:t>
      </w:r>
      <w:r w:rsidRPr="001E74D2">
        <w:rPr>
          <w:sz w:val="22"/>
          <w:szCs w:val="22"/>
        </w:rPr>
        <w:t xml:space="preserve">inancial </w:t>
      </w:r>
      <w:r w:rsidR="003D5ED1">
        <w:rPr>
          <w:sz w:val="22"/>
          <w:szCs w:val="22"/>
        </w:rPr>
        <w:t>P</w:t>
      </w:r>
      <w:r w:rsidRPr="001E74D2">
        <w:rPr>
          <w:sz w:val="22"/>
          <w:szCs w:val="22"/>
        </w:rPr>
        <w:t xml:space="preserve">erformance or the </w:t>
      </w:r>
      <w:r w:rsidR="003D5ED1">
        <w:rPr>
          <w:sz w:val="22"/>
          <w:szCs w:val="22"/>
        </w:rPr>
        <w:t>C</w:t>
      </w:r>
      <w:r w:rsidRPr="001E74D2">
        <w:rPr>
          <w:sz w:val="22"/>
          <w:szCs w:val="22"/>
        </w:rPr>
        <w:t>apital</w:t>
      </w:r>
      <w:r w:rsidR="003D5ED1">
        <w:rPr>
          <w:sz w:val="22"/>
          <w:szCs w:val="22"/>
        </w:rPr>
        <w:t xml:space="preserve"> B</w:t>
      </w:r>
      <w:r w:rsidRPr="001E74D2">
        <w:rPr>
          <w:sz w:val="22"/>
          <w:szCs w:val="22"/>
        </w:rPr>
        <w:t xml:space="preserve">udget will inevitably impact on the </w:t>
      </w:r>
      <w:r w:rsidR="003D5ED1">
        <w:rPr>
          <w:sz w:val="22"/>
          <w:szCs w:val="22"/>
        </w:rPr>
        <w:t>Budgeted</w:t>
      </w:r>
      <w:r w:rsidRPr="001E74D2">
        <w:rPr>
          <w:sz w:val="22"/>
          <w:szCs w:val="22"/>
        </w:rPr>
        <w:t xml:space="preserve"> </w:t>
      </w:r>
      <w:r w:rsidR="003D5ED1">
        <w:rPr>
          <w:sz w:val="22"/>
          <w:szCs w:val="22"/>
        </w:rPr>
        <w:t>F</w:t>
      </w:r>
      <w:r w:rsidRPr="001E74D2">
        <w:rPr>
          <w:sz w:val="22"/>
          <w:szCs w:val="22"/>
        </w:rPr>
        <w:t xml:space="preserve">inancial </w:t>
      </w:r>
      <w:r w:rsidR="003D5ED1">
        <w:rPr>
          <w:sz w:val="22"/>
          <w:szCs w:val="22"/>
        </w:rPr>
        <w:t>P</w:t>
      </w:r>
      <w:r w:rsidRPr="001E74D2">
        <w:rPr>
          <w:sz w:val="22"/>
          <w:szCs w:val="22"/>
        </w:rPr>
        <w:t xml:space="preserve">osition. </w:t>
      </w:r>
      <w:r w:rsidR="003D5ED1">
        <w:rPr>
          <w:sz w:val="22"/>
          <w:szCs w:val="22"/>
        </w:rPr>
        <w:t xml:space="preserve"> </w:t>
      </w:r>
      <w:r w:rsidRPr="001E74D2">
        <w:rPr>
          <w:sz w:val="22"/>
          <w:szCs w:val="22"/>
        </w:rPr>
        <w:t xml:space="preserve">As an example, the collection rate assumption will impact on the cash position of the municipality and subsequently inform the level of cash and cash equivalents at year end. </w:t>
      </w:r>
      <w:r w:rsidR="003D5ED1">
        <w:rPr>
          <w:sz w:val="22"/>
          <w:szCs w:val="22"/>
        </w:rPr>
        <w:t xml:space="preserve"> </w:t>
      </w:r>
      <w:r w:rsidRPr="001E74D2">
        <w:rPr>
          <w:sz w:val="22"/>
          <w:szCs w:val="22"/>
        </w:rPr>
        <w:t xml:space="preserve">Similarly, the collection rate assumption should inform the budget appropriation for debt impairment which in turn would impact on the provision </w:t>
      </w:r>
      <w:r w:rsidR="003D5ED1">
        <w:rPr>
          <w:sz w:val="22"/>
          <w:szCs w:val="22"/>
        </w:rPr>
        <w:t>for</w:t>
      </w:r>
      <w:r w:rsidRPr="001E74D2">
        <w:rPr>
          <w:sz w:val="22"/>
          <w:szCs w:val="22"/>
        </w:rPr>
        <w:t xml:space="preserve"> </w:t>
      </w:r>
      <w:r w:rsidR="00AB6E67">
        <w:rPr>
          <w:sz w:val="22"/>
          <w:szCs w:val="22"/>
        </w:rPr>
        <w:t>debt impairment</w:t>
      </w:r>
      <w:r w:rsidRPr="001E74D2">
        <w:rPr>
          <w:sz w:val="22"/>
          <w:szCs w:val="22"/>
        </w:rPr>
        <w:t xml:space="preserve">. </w:t>
      </w:r>
      <w:r w:rsidR="003D5ED1">
        <w:rPr>
          <w:sz w:val="22"/>
          <w:szCs w:val="22"/>
        </w:rPr>
        <w:t xml:space="preserve"> </w:t>
      </w:r>
      <w:r w:rsidRPr="001E74D2">
        <w:rPr>
          <w:sz w:val="22"/>
          <w:szCs w:val="22"/>
        </w:rPr>
        <w:t xml:space="preserve">These budget and planning assumptions form a critical link in determining the applicability and relevance of the budget as well as the determination of ratios and financial indicators. </w:t>
      </w:r>
      <w:r w:rsidR="003D5ED1">
        <w:rPr>
          <w:sz w:val="22"/>
          <w:szCs w:val="22"/>
        </w:rPr>
        <w:t xml:space="preserve"> </w:t>
      </w:r>
      <w:r w:rsidRPr="001E74D2">
        <w:rPr>
          <w:sz w:val="22"/>
          <w:szCs w:val="22"/>
        </w:rPr>
        <w:t>In addition the funding compliance assessment is informed directly by forecasting the statement of financial position</w:t>
      </w:r>
      <w:r w:rsidR="00D04160">
        <w:rPr>
          <w:sz w:val="22"/>
          <w:szCs w:val="22"/>
        </w:rPr>
        <w:t xml:space="preserve"> for the MTREF</w:t>
      </w:r>
      <w:r w:rsidRPr="001E74D2">
        <w:rPr>
          <w:sz w:val="22"/>
          <w:szCs w:val="22"/>
        </w:rPr>
        <w:t>.</w:t>
      </w:r>
    </w:p>
    <w:p w:rsidR="00112F8B" w:rsidRDefault="00112F8B" w:rsidP="00387B6B">
      <w:pPr>
        <w:pStyle w:val="Caption"/>
        <w:spacing w:line="360" w:lineRule="auto"/>
        <w:jc w:val="both"/>
        <w:rPr>
          <w:rFonts w:cs="Arial"/>
          <w:b w:val="0"/>
        </w:rPr>
      </w:pPr>
    </w:p>
    <w:p w:rsidR="0063552B" w:rsidRDefault="004F0644" w:rsidP="00387B6B">
      <w:pPr>
        <w:pStyle w:val="Heading3"/>
        <w:numPr>
          <w:ilvl w:val="0"/>
          <w:numId w:val="0"/>
        </w:numPr>
        <w:spacing w:line="360" w:lineRule="auto"/>
        <w:rPr>
          <w:rFonts w:ascii="Arial" w:hAnsi="Arial" w:cs="Arial"/>
          <w:color w:val="auto"/>
        </w:rPr>
      </w:pPr>
      <w:r>
        <w:rPr>
          <w:sz w:val="24"/>
          <w:szCs w:val="24"/>
        </w:rPr>
        <w:br w:type="column"/>
      </w:r>
      <w:bookmarkStart w:id="62" w:name="_Toc287342465"/>
      <w:bookmarkStart w:id="63" w:name="_Toc415060221"/>
      <w:r w:rsidR="00D83EF0" w:rsidRPr="00432663">
        <w:rPr>
          <w:rFonts w:ascii="Arial" w:hAnsi="Arial" w:cs="Arial"/>
          <w:color w:val="auto"/>
        </w:rPr>
        <w:t xml:space="preserve">Table </w:t>
      </w:r>
      <w:r w:rsidR="007B1ADE" w:rsidRPr="00432663">
        <w:rPr>
          <w:rFonts w:ascii="Arial" w:hAnsi="Arial" w:cs="Arial"/>
          <w:color w:val="auto"/>
        </w:rPr>
        <w:t>1</w:t>
      </w:r>
      <w:r w:rsidR="00287A64">
        <w:rPr>
          <w:rFonts w:ascii="Arial" w:hAnsi="Arial" w:cs="Arial"/>
          <w:color w:val="auto"/>
        </w:rPr>
        <w:t>4</w:t>
      </w:r>
      <w:r w:rsidR="007B1ADE" w:rsidRPr="00432663">
        <w:rPr>
          <w:rFonts w:ascii="Arial" w:hAnsi="Arial" w:cs="Arial"/>
          <w:noProof/>
          <w:color w:val="auto"/>
        </w:rPr>
        <w:t xml:space="preserve"> MBRR</w:t>
      </w:r>
      <w:r w:rsidR="00E8471C" w:rsidRPr="00432663">
        <w:rPr>
          <w:rFonts w:ascii="Arial" w:hAnsi="Arial" w:cs="Arial"/>
          <w:color w:val="auto"/>
        </w:rPr>
        <w:t xml:space="preserve"> </w:t>
      </w:r>
      <w:r w:rsidR="00B85BA5" w:rsidRPr="00432663">
        <w:rPr>
          <w:rFonts w:ascii="Arial" w:hAnsi="Arial" w:cs="Arial"/>
          <w:color w:val="auto"/>
        </w:rPr>
        <w:t>Table A7</w:t>
      </w:r>
      <w:r w:rsidR="00B374C8" w:rsidRPr="00432663">
        <w:rPr>
          <w:rFonts w:ascii="Arial" w:hAnsi="Arial" w:cs="Arial"/>
          <w:color w:val="auto"/>
        </w:rPr>
        <w:t xml:space="preserve"> - </w:t>
      </w:r>
      <w:r w:rsidR="00B85BA5" w:rsidRPr="00432663">
        <w:rPr>
          <w:rFonts w:ascii="Arial" w:hAnsi="Arial" w:cs="Arial"/>
          <w:color w:val="auto"/>
        </w:rPr>
        <w:t>Budgeted Cash Flow Statement</w:t>
      </w:r>
      <w:bookmarkEnd w:id="62"/>
      <w:bookmarkEnd w:id="63"/>
    </w:p>
    <w:p w:rsidR="00B85BA5" w:rsidRPr="0063552B" w:rsidRDefault="0063552B" w:rsidP="00387B6B">
      <w:pPr>
        <w:pStyle w:val="Heading3"/>
        <w:numPr>
          <w:ilvl w:val="0"/>
          <w:numId w:val="0"/>
        </w:numPr>
        <w:spacing w:line="360" w:lineRule="auto"/>
        <w:rPr>
          <w:rFonts w:ascii="Arial" w:hAnsi="Arial" w:cs="Arial"/>
          <w:color w:val="auto"/>
        </w:rPr>
      </w:pPr>
      <w:r>
        <w:rPr>
          <w:rFonts w:ascii="Arial" w:hAnsi="Arial" w:cs="Arial"/>
          <w:color w:val="auto"/>
        </w:rPr>
        <w:t>1</w:t>
      </w:r>
      <w:r w:rsidR="005F10B8">
        <w:rPr>
          <w:rFonts w:ascii="Arial" w:hAnsi="Arial" w:cs="Arial"/>
          <w:color w:val="auto"/>
        </w:rPr>
        <w:t xml:space="preserve">:- </w:t>
      </w:r>
    </w:p>
    <w:p w:rsidR="00C30727" w:rsidRDefault="00C30727" w:rsidP="00387B6B">
      <w:pPr>
        <w:spacing w:after="0" w:line="360" w:lineRule="auto"/>
        <w:rPr>
          <w:rFonts w:ascii="Arial" w:hAnsi="Arial" w:cs="Arial"/>
          <w:color w:val="E36C0A" w:themeColor="accent6" w:themeShade="BF"/>
          <w:sz w:val="24"/>
          <w:szCs w:val="24"/>
        </w:rPr>
      </w:pPr>
    </w:p>
    <w:p w:rsidR="00643431" w:rsidRPr="00353F34" w:rsidRDefault="00C66278" w:rsidP="00387B6B">
      <w:pPr>
        <w:spacing w:after="0" w:line="360" w:lineRule="auto"/>
        <w:rPr>
          <w:rFonts w:ascii="Arial" w:hAnsi="Arial" w:cs="Arial"/>
          <w:color w:val="E36C0A" w:themeColor="accent6" w:themeShade="BF"/>
          <w:sz w:val="24"/>
          <w:szCs w:val="24"/>
        </w:rPr>
      </w:pPr>
      <w:r w:rsidRPr="00C66278">
        <w:rPr>
          <w:noProof/>
          <w:lang w:val="en-US" w:eastAsia="en-US"/>
        </w:rPr>
        <w:drawing>
          <wp:inline distT="0" distB="0" distL="0" distR="0">
            <wp:extent cx="5943600" cy="377850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778506"/>
                    </a:xfrm>
                    <a:prstGeom prst="rect">
                      <a:avLst/>
                    </a:prstGeom>
                    <a:noFill/>
                    <a:ln>
                      <a:noFill/>
                    </a:ln>
                  </pic:spPr>
                </pic:pic>
              </a:graphicData>
            </a:graphic>
          </wp:inline>
        </w:drawing>
      </w:r>
    </w:p>
    <w:p w:rsidR="00D15237" w:rsidRDefault="00D15237" w:rsidP="00AB6E67">
      <w:pPr>
        <w:spacing w:after="0" w:line="360" w:lineRule="auto"/>
        <w:jc w:val="both"/>
        <w:rPr>
          <w:rFonts w:ascii="Arial" w:hAnsi="Arial" w:cs="Arial"/>
          <w:b/>
        </w:rPr>
      </w:pPr>
      <w:bookmarkStart w:id="64" w:name="_Toc287342466"/>
      <w:bookmarkStart w:id="65" w:name="_Toc415060222"/>
    </w:p>
    <w:p w:rsidR="00AB6E67" w:rsidRDefault="00AB6E67" w:rsidP="00AB6E67">
      <w:pPr>
        <w:spacing w:after="0" w:line="360" w:lineRule="auto"/>
        <w:jc w:val="both"/>
        <w:rPr>
          <w:rFonts w:ascii="Arial" w:hAnsi="Arial" w:cs="Arial"/>
          <w:b/>
        </w:rPr>
      </w:pPr>
      <w:r w:rsidRPr="00470799">
        <w:rPr>
          <w:rFonts w:ascii="Arial" w:hAnsi="Arial" w:cs="Arial"/>
          <w:b/>
        </w:rPr>
        <w:t xml:space="preserve">Explanatory notes </w:t>
      </w:r>
      <w:r>
        <w:rPr>
          <w:rFonts w:ascii="Arial" w:hAnsi="Arial" w:cs="Arial"/>
          <w:b/>
        </w:rPr>
        <w:t xml:space="preserve">to </w:t>
      </w:r>
      <w:r w:rsidRPr="00112F8B">
        <w:rPr>
          <w:rFonts w:ascii="Arial" w:hAnsi="Arial" w:cs="Arial"/>
          <w:b/>
        </w:rPr>
        <w:t>Table A7 - Budgeted Cash Flow Statement</w:t>
      </w:r>
    </w:p>
    <w:p w:rsidR="00AB6E67" w:rsidRDefault="00AB6E67" w:rsidP="00AB6E67">
      <w:pPr>
        <w:spacing w:after="0" w:line="360" w:lineRule="auto"/>
        <w:jc w:val="both"/>
        <w:rPr>
          <w:rFonts w:ascii="Arial" w:hAnsi="Arial" w:cs="Arial"/>
          <w:b/>
        </w:rPr>
      </w:pPr>
    </w:p>
    <w:p w:rsidR="00AB6E67" w:rsidRPr="000B51A1" w:rsidRDefault="00AB6E67" w:rsidP="00AB6E67">
      <w:pPr>
        <w:pStyle w:val="Default"/>
        <w:numPr>
          <w:ilvl w:val="0"/>
          <w:numId w:val="24"/>
        </w:numPr>
        <w:spacing w:line="360" w:lineRule="auto"/>
        <w:jc w:val="both"/>
        <w:rPr>
          <w:sz w:val="22"/>
          <w:szCs w:val="22"/>
        </w:rPr>
      </w:pPr>
      <w:r w:rsidRPr="000B51A1">
        <w:rPr>
          <w:sz w:val="22"/>
          <w:szCs w:val="22"/>
        </w:rPr>
        <w:t>The budgeted cash flow statement is the first measurement in determining if the budget is funded.</w:t>
      </w:r>
    </w:p>
    <w:p w:rsidR="00AB6E67" w:rsidRDefault="00AB6E67" w:rsidP="00AB6E67">
      <w:pPr>
        <w:pStyle w:val="Default"/>
        <w:numPr>
          <w:ilvl w:val="0"/>
          <w:numId w:val="24"/>
        </w:numPr>
        <w:spacing w:line="360" w:lineRule="auto"/>
        <w:jc w:val="both"/>
        <w:rPr>
          <w:sz w:val="22"/>
          <w:szCs w:val="22"/>
        </w:rPr>
      </w:pPr>
      <w:r w:rsidRPr="000B51A1">
        <w:rPr>
          <w:sz w:val="22"/>
          <w:szCs w:val="22"/>
        </w:rPr>
        <w:t>It shows the expected level of cash in-flow versus cash out-flow that is likely to result from the</w:t>
      </w:r>
      <w:r>
        <w:rPr>
          <w:sz w:val="22"/>
          <w:szCs w:val="22"/>
        </w:rPr>
        <w:t xml:space="preserve"> implementation of the budget.</w:t>
      </w:r>
    </w:p>
    <w:p w:rsidR="00030C77" w:rsidRDefault="00AB6E67" w:rsidP="00AB6E67">
      <w:pPr>
        <w:pStyle w:val="Default"/>
        <w:numPr>
          <w:ilvl w:val="0"/>
          <w:numId w:val="24"/>
        </w:numPr>
        <w:spacing w:line="360" w:lineRule="auto"/>
        <w:jc w:val="both"/>
        <w:rPr>
          <w:sz w:val="22"/>
          <w:szCs w:val="22"/>
        </w:rPr>
      </w:pPr>
      <w:r>
        <w:rPr>
          <w:sz w:val="22"/>
          <w:szCs w:val="22"/>
        </w:rPr>
        <w:t xml:space="preserve">It can be seen that the cash levels of the municipality </w:t>
      </w:r>
      <w:r w:rsidR="00643431">
        <w:rPr>
          <w:sz w:val="22"/>
          <w:szCs w:val="22"/>
        </w:rPr>
        <w:t xml:space="preserve">slightly increase </w:t>
      </w:r>
      <w:r>
        <w:rPr>
          <w:sz w:val="22"/>
          <w:szCs w:val="22"/>
        </w:rPr>
        <w:t>over the years 20</w:t>
      </w:r>
      <w:r w:rsidR="00325727">
        <w:rPr>
          <w:sz w:val="22"/>
          <w:szCs w:val="22"/>
        </w:rPr>
        <w:t>20</w:t>
      </w:r>
      <w:r>
        <w:rPr>
          <w:sz w:val="22"/>
          <w:szCs w:val="22"/>
        </w:rPr>
        <w:t>/</w:t>
      </w:r>
      <w:r w:rsidR="009B0DE9">
        <w:rPr>
          <w:sz w:val="22"/>
          <w:szCs w:val="22"/>
        </w:rPr>
        <w:t>2</w:t>
      </w:r>
      <w:r w:rsidR="00325727">
        <w:rPr>
          <w:sz w:val="22"/>
          <w:szCs w:val="22"/>
        </w:rPr>
        <w:t>1</w:t>
      </w:r>
      <w:r>
        <w:rPr>
          <w:sz w:val="22"/>
          <w:szCs w:val="22"/>
        </w:rPr>
        <w:t xml:space="preserve"> to 20</w:t>
      </w:r>
      <w:r w:rsidR="00446BD9">
        <w:rPr>
          <w:sz w:val="22"/>
          <w:szCs w:val="22"/>
        </w:rPr>
        <w:t>2</w:t>
      </w:r>
      <w:r w:rsidR="00325727">
        <w:rPr>
          <w:sz w:val="22"/>
          <w:szCs w:val="22"/>
        </w:rPr>
        <w:t>2</w:t>
      </w:r>
      <w:r>
        <w:rPr>
          <w:sz w:val="22"/>
          <w:szCs w:val="22"/>
        </w:rPr>
        <w:t>/</w:t>
      </w:r>
      <w:r w:rsidR="005D758D">
        <w:rPr>
          <w:sz w:val="22"/>
          <w:szCs w:val="22"/>
        </w:rPr>
        <w:t>2</w:t>
      </w:r>
      <w:r w:rsidR="00325727">
        <w:rPr>
          <w:sz w:val="22"/>
          <w:szCs w:val="22"/>
        </w:rPr>
        <w:t>3</w:t>
      </w:r>
      <w:r>
        <w:rPr>
          <w:sz w:val="22"/>
          <w:szCs w:val="22"/>
        </w:rPr>
        <w:t xml:space="preserve"> </w:t>
      </w:r>
      <w:r w:rsidR="008A4137">
        <w:rPr>
          <w:sz w:val="22"/>
          <w:szCs w:val="22"/>
        </w:rPr>
        <w:t xml:space="preserve">due to the </w:t>
      </w:r>
      <w:r w:rsidR="00643431">
        <w:rPr>
          <w:sz w:val="22"/>
          <w:szCs w:val="22"/>
        </w:rPr>
        <w:t xml:space="preserve">average increase </w:t>
      </w:r>
      <w:r w:rsidR="00260749" w:rsidRPr="00643431">
        <w:rPr>
          <w:color w:val="auto"/>
          <w:sz w:val="22"/>
          <w:szCs w:val="22"/>
        </w:rPr>
        <w:t>in</w:t>
      </w:r>
      <w:r w:rsidR="00643431" w:rsidRPr="00643431">
        <w:rPr>
          <w:color w:val="auto"/>
          <w:sz w:val="22"/>
          <w:szCs w:val="22"/>
        </w:rPr>
        <w:t xml:space="preserve"> Equitable Share and</w:t>
      </w:r>
      <w:r w:rsidR="00260749" w:rsidRPr="00643431">
        <w:rPr>
          <w:color w:val="auto"/>
          <w:sz w:val="22"/>
          <w:szCs w:val="22"/>
        </w:rPr>
        <w:t xml:space="preserve"> </w:t>
      </w:r>
      <w:r w:rsidR="008A4137" w:rsidRPr="00643431">
        <w:rPr>
          <w:color w:val="auto"/>
          <w:sz w:val="22"/>
          <w:szCs w:val="22"/>
        </w:rPr>
        <w:t xml:space="preserve">conditional </w:t>
      </w:r>
      <w:r w:rsidR="008A4137">
        <w:rPr>
          <w:sz w:val="22"/>
          <w:szCs w:val="22"/>
        </w:rPr>
        <w:t>grant</w:t>
      </w:r>
      <w:r w:rsidR="00643431">
        <w:rPr>
          <w:sz w:val="22"/>
          <w:szCs w:val="22"/>
        </w:rPr>
        <w:t>s</w:t>
      </w:r>
      <w:r w:rsidR="008A4137">
        <w:rPr>
          <w:sz w:val="22"/>
          <w:szCs w:val="22"/>
        </w:rPr>
        <w:t xml:space="preserve"> </w:t>
      </w:r>
      <w:r>
        <w:rPr>
          <w:sz w:val="22"/>
          <w:szCs w:val="22"/>
        </w:rPr>
        <w:t xml:space="preserve">allocations </w:t>
      </w:r>
      <w:r w:rsidR="0064123A">
        <w:rPr>
          <w:sz w:val="22"/>
          <w:szCs w:val="22"/>
        </w:rPr>
        <w:t xml:space="preserve">received by the municipality </w:t>
      </w:r>
      <w:r>
        <w:rPr>
          <w:sz w:val="22"/>
          <w:szCs w:val="22"/>
        </w:rPr>
        <w:t>and</w:t>
      </w:r>
      <w:r w:rsidR="0064123A">
        <w:rPr>
          <w:sz w:val="22"/>
          <w:szCs w:val="22"/>
        </w:rPr>
        <w:t xml:space="preserve"> increased operating expenditure</w:t>
      </w:r>
      <w:r w:rsidR="00643431">
        <w:rPr>
          <w:sz w:val="22"/>
          <w:szCs w:val="22"/>
        </w:rPr>
        <w:t xml:space="preserve"> levels</w:t>
      </w:r>
      <w:r>
        <w:rPr>
          <w:sz w:val="22"/>
          <w:szCs w:val="22"/>
        </w:rPr>
        <w:t>.</w:t>
      </w:r>
    </w:p>
    <w:p w:rsidR="00AB6E67" w:rsidRDefault="00AB6E67" w:rsidP="00AB6E67">
      <w:pPr>
        <w:pStyle w:val="Default"/>
        <w:numPr>
          <w:ilvl w:val="0"/>
          <w:numId w:val="24"/>
        </w:numPr>
        <w:spacing w:line="360" w:lineRule="auto"/>
        <w:jc w:val="both"/>
        <w:rPr>
          <w:sz w:val="22"/>
          <w:szCs w:val="22"/>
        </w:rPr>
      </w:pPr>
      <w:r>
        <w:rPr>
          <w:sz w:val="22"/>
          <w:szCs w:val="22"/>
        </w:rPr>
        <w:t xml:space="preserve"> </w:t>
      </w:r>
      <w:r w:rsidR="0064123A">
        <w:rPr>
          <w:sz w:val="22"/>
          <w:szCs w:val="22"/>
        </w:rPr>
        <w:t xml:space="preserve">Further </w:t>
      </w:r>
      <w:r>
        <w:rPr>
          <w:sz w:val="22"/>
          <w:szCs w:val="22"/>
        </w:rPr>
        <w:t>the municipality needs to take into consideration a realistic collection rate as this has implications on the funding of the budget.</w:t>
      </w:r>
    </w:p>
    <w:p w:rsidR="00AB6E67" w:rsidRDefault="00AB6E67" w:rsidP="00AB6E67">
      <w:pPr>
        <w:pStyle w:val="Default"/>
        <w:numPr>
          <w:ilvl w:val="0"/>
          <w:numId w:val="24"/>
        </w:numPr>
        <w:spacing w:line="360" w:lineRule="auto"/>
        <w:jc w:val="both"/>
        <w:rPr>
          <w:sz w:val="22"/>
          <w:szCs w:val="22"/>
        </w:rPr>
      </w:pPr>
      <w:r w:rsidRPr="00532755">
        <w:rPr>
          <w:sz w:val="22"/>
          <w:szCs w:val="22"/>
        </w:rPr>
        <w:t xml:space="preserve">The </w:t>
      </w:r>
      <w:r w:rsidR="00325727">
        <w:rPr>
          <w:sz w:val="22"/>
          <w:szCs w:val="22"/>
        </w:rPr>
        <w:t>final</w:t>
      </w:r>
      <w:r w:rsidR="0064123A">
        <w:rPr>
          <w:sz w:val="22"/>
          <w:szCs w:val="22"/>
        </w:rPr>
        <w:t xml:space="preserve"> </w:t>
      </w:r>
      <w:r>
        <w:rPr>
          <w:sz w:val="22"/>
          <w:szCs w:val="22"/>
        </w:rPr>
        <w:t>20</w:t>
      </w:r>
      <w:r w:rsidR="00325727">
        <w:rPr>
          <w:sz w:val="22"/>
          <w:szCs w:val="22"/>
        </w:rPr>
        <w:t>20</w:t>
      </w:r>
      <w:r>
        <w:rPr>
          <w:sz w:val="22"/>
          <w:szCs w:val="22"/>
        </w:rPr>
        <w:t>/</w:t>
      </w:r>
      <w:r w:rsidR="009B0DE9">
        <w:rPr>
          <w:sz w:val="22"/>
          <w:szCs w:val="22"/>
        </w:rPr>
        <w:t>2</w:t>
      </w:r>
      <w:r w:rsidR="00325727">
        <w:rPr>
          <w:sz w:val="22"/>
          <w:szCs w:val="22"/>
        </w:rPr>
        <w:t>1</w:t>
      </w:r>
      <w:r w:rsidRPr="00532755">
        <w:rPr>
          <w:sz w:val="22"/>
          <w:szCs w:val="22"/>
        </w:rPr>
        <w:t xml:space="preserve"> MTREF provide</w:t>
      </w:r>
      <w:r w:rsidR="0064123A">
        <w:rPr>
          <w:sz w:val="22"/>
          <w:szCs w:val="22"/>
        </w:rPr>
        <w:t>s</w:t>
      </w:r>
      <w:r w:rsidRPr="00532755">
        <w:rPr>
          <w:sz w:val="22"/>
          <w:szCs w:val="22"/>
        </w:rPr>
        <w:t xml:space="preserve"> for a further net </w:t>
      </w:r>
      <w:r w:rsidRPr="00030C77">
        <w:rPr>
          <w:color w:val="auto"/>
          <w:sz w:val="22"/>
          <w:szCs w:val="22"/>
        </w:rPr>
        <w:t>decrease</w:t>
      </w:r>
      <w:r w:rsidRPr="00532755">
        <w:rPr>
          <w:sz w:val="22"/>
          <w:szCs w:val="22"/>
        </w:rPr>
        <w:t xml:space="preserve"> in cash of </w:t>
      </w:r>
      <w:r>
        <w:rPr>
          <w:sz w:val="22"/>
          <w:szCs w:val="22"/>
        </w:rPr>
        <w:t>R</w:t>
      </w:r>
      <w:r w:rsidR="00446BD9">
        <w:rPr>
          <w:sz w:val="22"/>
          <w:szCs w:val="22"/>
        </w:rPr>
        <w:t xml:space="preserve"> </w:t>
      </w:r>
      <w:r w:rsidR="00325727">
        <w:rPr>
          <w:sz w:val="22"/>
          <w:szCs w:val="22"/>
        </w:rPr>
        <w:t>654</w:t>
      </w:r>
      <w:r w:rsidR="00260749" w:rsidRPr="00654C5B">
        <w:rPr>
          <w:color w:val="auto"/>
          <w:sz w:val="22"/>
          <w:szCs w:val="22"/>
        </w:rPr>
        <w:t>.</w:t>
      </w:r>
      <w:r w:rsidR="00325727">
        <w:rPr>
          <w:color w:val="auto"/>
          <w:sz w:val="22"/>
          <w:szCs w:val="22"/>
        </w:rPr>
        <w:t>9</w:t>
      </w:r>
      <w:r w:rsidRPr="009B0DE9">
        <w:rPr>
          <w:color w:val="FF0000"/>
          <w:sz w:val="22"/>
          <w:szCs w:val="22"/>
        </w:rPr>
        <w:t xml:space="preserve"> </w:t>
      </w:r>
      <w:r w:rsidRPr="00532755">
        <w:rPr>
          <w:sz w:val="22"/>
          <w:szCs w:val="22"/>
        </w:rPr>
        <w:t xml:space="preserve">million. </w:t>
      </w:r>
    </w:p>
    <w:p w:rsidR="00AB6E67" w:rsidRPr="00532755" w:rsidRDefault="00AB6E67" w:rsidP="00AB6E67">
      <w:pPr>
        <w:pStyle w:val="Default"/>
        <w:numPr>
          <w:ilvl w:val="0"/>
          <w:numId w:val="24"/>
        </w:numPr>
        <w:spacing w:line="360" w:lineRule="auto"/>
        <w:jc w:val="both"/>
        <w:rPr>
          <w:sz w:val="22"/>
          <w:szCs w:val="22"/>
        </w:rPr>
      </w:pPr>
      <w:r w:rsidRPr="00532755">
        <w:rPr>
          <w:sz w:val="22"/>
          <w:szCs w:val="22"/>
        </w:rPr>
        <w:t xml:space="preserve">The </w:t>
      </w:r>
      <w:r w:rsidR="00325727">
        <w:rPr>
          <w:sz w:val="22"/>
          <w:szCs w:val="22"/>
        </w:rPr>
        <w:t>2020</w:t>
      </w:r>
      <w:r>
        <w:rPr>
          <w:sz w:val="22"/>
          <w:szCs w:val="22"/>
        </w:rPr>
        <w:t>/</w:t>
      </w:r>
      <w:r w:rsidR="009B0DE9">
        <w:rPr>
          <w:sz w:val="22"/>
          <w:szCs w:val="22"/>
        </w:rPr>
        <w:t>2</w:t>
      </w:r>
      <w:r w:rsidR="00325727">
        <w:rPr>
          <w:sz w:val="22"/>
          <w:szCs w:val="22"/>
        </w:rPr>
        <w:t>1</w:t>
      </w:r>
      <w:r w:rsidRPr="00532755">
        <w:rPr>
          <w:sz w:val="22"/>
          <w:szCs w:val="22"/>
        </w:rPr>
        <w:t xml:space="preserve"> MTREF has been informed by the planning principle of </w:t>
      </w:r>
      <w:r>
        <w:rPr>
          <w:sz w:val="22"/>
          <w:szCs w:val="22"/>
        </w:rPr>
        <w:t xml:space="preserve">a </w:t>
      </w:r>
      <w:r w:rsidR="00446BD9">
        <w:rPr>
          <w:sz w:val="22"/>
          <w:szCs w:val="22"/>
        </w:rPr>
        <w:t>2</w:t>
      </w:r>
      <w:r w:rsidR="0064123A">
        <w:rPr>
          <w:sz w:val="22"/>
          <w:szCs w:val="22"/>
        </w:rPr>
        <w:t>0</w:t>
      </w:r>
      <w:r>
        <w:rPr>
          <w:sz w:val="22"/>
          <w:szCs w:val="22"/>
        </w:rPr>
        <w:t xml:space="preserve"> % collection rate on water and sanitation services revenue.</w:t>
      </w:r>
    </w:p>
    <w:p w:rsidR="00AB6E67" w:rsidRDefault="00AB6E67" w:rsidP="00AB6E67">
      <w:pPr>
        <w:pStyle w:val="Default"/>
        <w:numPr>
          <w:ilvl w:val="0"/>
          <w:numId w:val="24"/>
        </w:numPr>
        <w:spacing w:line="360" w:lineRule="auto"/>
        <w:jc w:val="both"/>
        <w:rPr>
          <w:sz w:val="22"/>
          <w:szCs w:val="22"/>
        </w:rPr>
      </w:pPr>
      <w:r w:rsidRPr="004A6EC0">
        <w:rPr>
          <w:sz w:val="22"/>
          <w:szCs w:val="22"/>
        </w:rPr>
        <w:t>Cash and cash equivalents</w:t>
      </w:r>
      <w:r>
        <w:rPr>
          <w:sz w:val="22"/>
          <w:szCs w:val="22"/>
        </w:rPr>
        <w:t xml:space="preserve"> totals </w:t>
      </w:r>
      <w:r w:rsidRPr="0064123A">
        <w:rPr>
          <w:color w:val="auto"/>
          <w:sz w:val="22"/>
          <w:szCs w:val="22"/>
        </w:rPr>
        <w:t>R</w:t>
      </w:r>
      <w:r w:rsidR="00446BD9">
        <w:rPr>
          <w:color w:val="auto"/>
          <w:sz w:val="22"/>
          <w:szCs w:val="22"/>
        </w:rPr>
        <w:t xml:space="preserve"> </w:t>
      </w:r>
      <w:r w:rsidR="00325727">
        <w:rPr>
          <w:color w:val="auto"/>
          <w:sz w:val="22"/>
          <w:szCs w:val="22"/>
        </w:rPr>
        <w:t>706</w:t>
      </w:r>
      <w:r w:rsidRPr="009B0DE9">
        <w:rPr>
          <w:color w:val="FF0000"/>
          <w:sz w:val="22"/>
          <w:szCs w:val="22"/>
        </w:rPr>
        <w:t xml:space="preserve"> </w:t>
      </w:r>
      <w:r w:rsidR="00325727">
        <w:rPr>
          <w:sz w:val="22"/>
          <w:szCs w:val="22"/>
        </w:rPr>
        <w:t>million as at the end of 2020</w:t>
      </w:r>
      <w:r>
        <w:rPr>
          <w:sz w:val="22"/>
          <w:szCs w:val="22"/>
        </w:rPr>
        <w:t>/</w:t>
      </w:r>
      <w:r w:rsidR="009B0DE9">
        <w:rPr>
          <w:sz w:val="22"/>
          <w:szCs w:val="22"/>
        </w:rPr>
        <w:t>2</w:t>
      </w:r>
      <w:r w:rsidR="00325727">
        <w:rPr>
          <w:sz w:val="22"/>
          <w:szCs w:val="22"/>
        </w:rPr>
        <w:t>1</w:t>
      </w:r>
      <w:r>
        <w:rPr>
          <w:sz w:val="22"/>
          <w:szCs w:val="22"/>
        </w:rPr>
        <w:t xml:space="preserve"> financial year and </w:t>
      </w:r>
      <w:r w:rsidR="00654C5B">
        <w:rPr>
          <w:sz w:val="22"/>
          <w:szCs w:val="22"/>
        </w:rPr>
        <w:t xml:space="preserve">increases to </w:t>
      </w:r>
      <w:r w:rsidR="00097F44">
        <w:rPr>
          <w:sz w:val="22"/>
          <w:szCs w:val="22"/>
        </w:rPr>
        <w:t>R</w:t>
      </w:r>
      <w:r w:rsidR="00446BD9">
        <w:rPr>
          <w:sz w:val="22"/>
          <w:szCs w:val="22"/>
        </w:rPr>
        <w:t xml:space="preserve"> </w:t>
      </w:r>
      <w:r w:rsidR="00325727">
        <w:rPr>
          <w:sz w:val="22"/>
          <w:szCs w:val="22"/>
        </w:rPr>
        <w:t>1 848</w:t>
      </w:r>
      <w:r w:rsidR="00654C5B">
        <w:rPr>
          <w:sz w:val="22"/>
          <w:szCs w:val="22"/>
        </w:rPr>
        <w:t>.</w:t>
      </w:r>
      <w:r w:rsidR="00325727">
        <w:rPr>
          <w:sz w:val="22"/>
          <w:szCs w:val="22"/>
        </w:rPr>
        <w:t>9</w:t>
      </w:r>
      <w:r w:rsidR="00654C5B">
        <w:rPr>
          <w:sz w:val="22"/>
          <w:szCs w:val="22"/>
        </w:rPr>
        <w:t xml:space="preserve"> </w:t>
      </w:r>
      <w:r w:rsidR="00325727">
        <w:rPr>
          <w:sz w:val="22"/>
          <w:szCs w:val="22"/>
        </w:rPr>
        <w:t>b</w:t>
      </w:r>
      <w:r w:rsidR="005D758D">
        <w:rPr>
          <w:sz w:val="22"/>
          <w:szCs w:val="22"/>
        </w:rPr>
        <w:t>illion</w:t>
      </w:r>
      <w:r>
        <w:rPr>
          <w:sz w:val="22"/>
          <w:szCs w:val="22"/>
        </w:rPr>
        <w:t xml:space="preserve"> by 20</w:t>
      </w:r>
      <w:r w:rsidR="00446BD9">
        <w:rPr>
          <w:sz w:val="22"/>
          <w:szCs w:val="22"/>
        </w:rPr>
        <w:t>2</w:t>
      </w:r>
      <w:r w:rsidR="00325727">
        <w:rPr>
          <w:sz w:val="22"/>
          <w:szCs w:val="22"/>
        </w:rPr>
        <w:t>2</w:t>
      </w:r>
      <w:r>
        <w:rPr>
          <w:sz w:val="22"/>
          <w:szCs w:val="22"/>
        </w:rPr>
        <w:t>/</w:t>
      </w:r>
      <w:r w:rsidR="005D758D">
        <w:rPr>
          <w:sz w:val="22"/>
          <w:szCs w:val="22"/>
        </w:rPr>
        <w:t>2</w:t>
      </w:r>
      <w:r w:rsidR="00325727">
        <w:rPr>
          <w:sz w:val="22"/>
          <w:szCs w:val="22"/>
        </w:rPr>
        <w:t>3</w:t>
      </w:r>
      <w:r>
        <w:rPr>
          <w:sz w:val="22"/>
          <w:szCs w:val="22"/>
        </w:rPr>
        <w:t>.</w:t>
      </w:r>
    </w:p>
    <w:p w:rsidR="00AB6E67" w:rsidRDefault="00AB6E67" w:rsidP="00387B6B">
      <w:pPr>
        <w:pStyle w:val="Heading3"/>
        <w:numPr>
          <w:ilvl w:val="0"/>
          <w:numId w:val="0"/>
        </w:numPr>
        <w:spacing w:line="360" w:lineRule="auto"/>
        <w:rPr>
          <w:rFonts w:ascii="Arial" w:hAnsi="Arial" w:cs="Arial"/>
          <w:color w:val="auto"/>
        </w:rPr>
      </w:pPr>
    </w:p>
    <w:bookmarkEnd w:id="64"/>
    <w:bookmarkEnd w:id="65"/>
    <w:p w:rsidR="00112F8B" w:rsidRDefault="00112F8B" w:rsidP="00387B6B">
      <w:pPr>
        <w:pStyle w:val="Caption"/>
        <w:spacing w:line="360" w:lineRule="auto"/>
      </w:pPr>
    </w:p>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504B35" w:rsidRDefault="00504B35" w:rsidP="00504B35"/>
    <w:p w:rsidR="00F60DD2" w:rsidRDefault="00F60DD2" w:rsidP="00504B35"/>
    <w:p w:rsidR="00325727" w:rsidRDefault="00325727" w:rsidP="00504B35"/>
    <w:p w:rsidR="00325727" w:rsidRDefault="00325727" w:rsidP="00504B35"/>
    <w:p w:rsidR="00F60DD2" w:rsidRPr="00C701FE" w:rsidRDefault="00F60DD2" w:rsidP="00F60DD2">
      <w:pPr>
        <w:jc w:val="center"/>
        <w:rPr>
          <w:rFonts w:ascii="Arial Black" w:hAnsi="Arial Black" w:cs="Arial"/>
          <w:sz w:val="36"/>
          <w:szCs w:val="36"/>
        </w:rPr>
      </w:pPr>
      <w:r>
        <w:rPr>
          <w:rFonts w:ascii="Arial Black" w:hAnsi="Arial Black" w:cs="Arial"/>
          <w:sz w:val="36"/>
          <w:szCs w:val="36"/>
        </w:rPr>
        <w:t>ANNEXURE</w:t>
      </w:r>
      <w:r w:rsidRPr="00C701FE">
        <w:rPr>
          <w:rFonts w:ascii="Arial Black" w:hAnsi="Arial Black" w:cs="Arial"/>
          <w:sz w:val="36"/>
          <w:szCs w:val="36"/>
        </w:rPr>
        <w:t xml:space="preserve"> A</w:t>
      </w:r>
    </w:p>
    <w:p w:rsidR="00F60DD2" w:rsidRDefault="00F60DD2" w:rsidP="00F60DD2">
      <w:r>
        <w:t xml:space="preserve">      </w:t>
      </w:r>
      <w:r w:rsidRPr="00C54ED8">
        <w:rPr>
          <w:noProof/>
          <w:lang w:val="en-US" w:eastAsia="en-US"/>
        </w:rPr>
        <w:drawing>
          <wp:inline distT="0" distB="0" distL="0" distR="0" wp14:anchorId="37BC84CE" wp14:editId="563FA63B">
            <wp:extent cx="5943600" cy="2665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2665730"/>
                    </a:xfrm>
                    <a:prstGeom prst="rect">
                      <a:avLst/>
                    </a:prstGeom>
                    <a:noFill/>
                    <a:ln>
                      <a:noFill/>
                    </a:ln>
                  </pic:spPr>
                </pic:pic>
              </a:graphicData>
            </a:graphic>
          </wp:inline>
        </w:drawing>
      </w:r>
    </w:p>
    <w:p w:rsidR="00F60DD2" w:rsidRDefault="00F60DD2" w:rsidP="00F60DD2">
      <w:pPr>
        <w:jc w:val="both"/>
        <w:rPr>
          <w:rFonts w:ascii="Calibri" w:hAnsi="Calibri" w:cs="Arial"/>
          <w:highlight w:val="yellow"/>
        </w:rPr>
      </w:pPr>
      <w:r w:rsidRPr="00A8506A">
        <w:rPr>
          <w:rFonts w:ascii="Calibri" w:hAnsi="Calibri" w:cs="Arial"/>
        </w:rPr>
        <w:t xml:space="preserve">The Chris Hani District Municipality as </w:t>
      </w:r>
      <w:r>
        <w:rPr>
          <w:rFonts w:ascii="Calibri" w:hAnsi="Calibri" w:cs="Arial"/>
        </w:rPr>
        <w:t xml:space="preserve">a </w:t>
      </w:r>
      <w:r w:rsidRPr="00A8506A">
        <w:rPr>
          <w:rFonts w:ascii="Calibri" w:hAnsi="Calibri" w:cs="Arial"/>
        </w:rPr>
        <w:t>Water Services Authority and Provider deliver</w:t>
      </w:r>
      <w:r>
        <w:rPr>
          <w:rFonts w:ascii="Calibri" w:hAnsi="Calibri" w:cs="Arial"/>
        </w:rPr>
        <w:t>s</w:t>
      </w:r>
      <w:r w:rsidRPr="00A8506A">
        <w:rPr>
          <w:rFonts w:ascii="Calibri" w:hAnsi="Calibri" w:cs="Arial"/>
        </w:rPr>
        <w:t xml:space="preserve"> the service in the area of </w:t>
      </w:r>
      <w:r>
        <w:rPr>
          <w:rFonts w:ascii="Calibri" w:hAnsi="Calibri" w:cs="Arial"/>
        </w:rPr>
        <w:t xml:space="preserve">the </w:t>
      </w:r>
      <w:r w:rsidRPr="00A8506A">
        <w:rPr>
          <w:rFonts w:ascii="Calibri" w:hAnsi="Calibri" w:cs="Arial"/>
        </w:rPr>
        <w:t>six (formerly eight) local municipal areas within its jurisdiction.</w:t>
      </w:r>
    </w:p>
    <w:p w:rsidR="00F60DD2" w:rsidRDefault="00F60DD2" w:rsidP="00F60DD2">
      <w:pPr>
        <w:jc w:val="both"/>
        <w:rPr>
          <w:rFonts w:ascii="Calibri" w:hAnsi="Calibri" w:cs="Arial"/>
          <w:highlight w:val="yellow"/>
        </w:rPr>
      </w:pPr>
      <w:r w:rsidRPr="00A8506A">
        <w:rPr>
          <w:rFonts w:ascii="Calibri" w:hAnsi="Calibri" w:cs="Arial"/>
        </w:rPr>
        <w:t>The National Treasur</w:t>
      </w:r>
      <w:r>
        <w:rPr>
          <w:rFonts w:ascii="Calibri" w:hAnsi="Calibri" w:cs="Arial"/>
        </w:rPr>
        <w:t xml:space="preserve">y is </w:t>
      </w:r>
      <w:r w:rsidRPr="00A8506A">
        <w:rPr>
          <w:rFonts w:ascii="Calibri" w:hAnsi="Calibri" w:cs="Arial"/>
        </w:rPr>
        <w:t xml:space="preserve">encouraging all </w:t>
      </w:r>
      <w:r>
        <w:rPr>
          <w:rFonts w:ascii="Calibri" w:hAnsi="Calibri" w:cs="Arial"/>
        </w:rPr>
        <w:t>Municipalities</w:t>
      </w:r>
      <w:r w:rsidRPr="00A8506A">
        <w:rPr>
          <w:rFonts w:ascii="Calibri" w:hAnsi="Calibri" w:cs="Arial"/>
        </w:rPr>
        <w:t xml:space="preserve"> to implement tariff structure that reflect the following;</w:t>
      </w:r>
    </w:p>
    <w:p w:rsidR="00F60DD2" w:rsidRPr="00746563" w:rsidRDefault="00F60DD2" w:rsidP="00F60DD2">
      <w:pPr>
        <w:numPr>
          <w:ilvl w:val="0"/>
          <w:numId w:val="45"/>
        </w:numPr>
        <w:spacing w:after="0" w:line="360" w:lineRule="auto"/>
        <w:jc w:val="both"/>
        <w:rPr>
          <w:rFonts w:cstheme="minorHAnsi"/>
        </w:rPr>
      </w:pPr>
      <w:r w:rsidRPr="00746563">
        <w:rPr>
          <w:rFonts w:cstheme="minorHAnsi"/>
        </w:rPr>
        <w:t xml:space="preserve">Water tariffs </w:t>
      </w:r>
      <w:r>
        <w:rPr>
          <w:rFonts w:cstheme="minorHAnsi"/>
        </w:rPr>
        <w:t xml:space="preserve">that </w:t>
      </w:r>
      <w:r w:rsidRPr="00746563">
        <w:rPr>
          <w:rFonts w:cstheme="minorHAnsi"/>
        </w:rPr>
        <w:t>are fully cost-reflective – including the cost of maintenance and renewal of purification plants, water networks and the cost associated with reticulation expansion;</w:t>
      </w:r>
    </w:p>
    <w:p w:rsidR="00F60DD2" w:rsidRPr="00746563" w:rsidRDefault="00F60DD2" w:rsidP="00F60DD2">
      <w:pPr>
        <w:numPr>
          <w:ilvl w:val="0"/>
          <w:numId w:val="45"/>
        </w:numPr>
        <w:spacing w:after="0" w:line="360" w:lineRule="auto"/>
        <w:jc w:val="both"/>
        <w:rPr>
          <w:rFonts w:cstheme="minorHAnsi"/>
        </w:rPr>
      </w:pPr>
      <w:r w:rsidRPr="00746563">
        <w:rPr>
          <w:rFonts w:cstheme="minorHAnsi"/>
        </w:rPr>
        <w:t xml:space="preserve">Water tariffs </w:t>
      </w:r>
      <w:r>
        <w:rPr>
          <w:rFonts w:cstheme="minorHAnsi"/>
        </w:rPr>
        <w:t xml:space="preserve">that </w:t>
      </w:r>
      <w:r w:rsidRPr="00746563">
        <w:rPr>
          <w:rFonts w:cstheme="minorHAnsi"/>
        </w:rPr>
        <w:t>are structured to protect basic levels of service and ensure the provision of free water to the poorest of the poor (indigent);  and</w:t>
      </w:r>
    </w:p>
    <w:p w:rsidR="00F60DD2" w:rsidRPr="00746563" w:rsidRDefault="00F60DD2" w:rsidP="00F60DD2">
      <w:pPr>
        <w:numPr>
          <w:ilvl w:val="0"/>
          <w:numId w:val="45"/>
        </w:numPr>
        <w:spacing w:after="0" w:line="360" w:lineRule="auto"/>
        <w:jc w:val="both"/>
        <w:rPr>
          <w:rFonts w:cstheme="minorHAnsi"/>
          <w:lang w:val="en-GB"/>
        </w:rPr>
      </w:pPr>
      <w:r w:rsidRPr="00746563">
        <w:rPr>
          <w:rFonts w:cstheme="minorHAnsi"/>
        </w:rPr>
        <w:t>Water tariffs</w:t>
      </w:r>
      <w:r>
        <w:rPr>
          <w:rFonts w:cstheme="minorHAnsi"/>
        </w:rPr>
        <w:t xml:space="preserve"> that</w:t>
      </w:r>
      <w:r w:rsidRPr="00746563">
        <w:rPr>
          <w:rFonts w:cstheme="minorHAnsi"/>
        </w:rPr>
        <w:t xml:space="preserve"> are designed to encourage efficient and sustainable consumption.</w:t>
      </w:r>
    </w:p>
    <w:p w:rsidR="00F60DD2" w:rsidRDefault="00F60DD2" w:rsidP="00F60DD2">
      <w:pPr>
        <w:spacing w:line="360" w:lineRule="auto"/>
        <w:ind w:left="360"/>
        <w:jc w:val="both"/>
        <w:rPr>
          <w:rFonts w:cstheme="minorHAnsi"/>
        </w:rPr>
      </w:pPr>
    </w:p>
    <w:p w:rsidR="00F60DD2" w:rsidRPr="00A8506A" w:rsidRDefault="00F60DD2" w:rsidP="00F60DD2">
      <w:pPr>
        <w:spacing w:line="360" w:lineRule="auto"/>
        <w:ind w:left="360"/>
        <w:jc w:val="both"/>
        <w:rPr>
          <w:rFonts w:cstheme="minorHAnsi"/>
        </w:rPr>
      </w:pPr>
      <w:r w:rsidRPr="00A8506A">
        <w:rPr>
          <w:rFonts w:cstheme="minorHAnsi"/>
        </w:rPr>
        <w:t xml:space="preserve">Chris Hani </w:t>
      </w:r>
      <w:r>
        <w:rPr>
          <w:rFonts w:cstheme="minorHAnsi"/>
        </w:rPr>
        <w:t>District Municipality a</w:t>
      </w:r>
      <w:r w:rsidRPr="00A8506A">
        <w:rPr>
          <w:rFonts w:cstheme="minorHAnsi"/>
        </w:rPr>
        <w:t>s a Water Services Pro</w:t>
      </w:r>
      <w:r>
        <w:rPr>
          <w:rFonts w:cstheme="minorHAnsi"/>
        </w:rPr>
        <w:t xml:space="preserve">vider therefore has to raise sufficient </w:t>
      </w:r>
      <w:r w:rsidRPr="00A8506A">
        <w:rPr>
          <w:rFonts w:cstheme="minorHAnsi"/>
        </w:rPr>
        <w:t xml:space="preserve">own revenue from the rendering of water and sanitation services. </w:t>
      </w:r>
      <w:r>
        <w:rPr>
          <w:rFonts w:cstheme="minorHAnsi"/>
        </w:rPr>
        <w:t>The proposed tariff increase below is based on the guidelines provided by the National Treasury for the 2018/2019 MEDIUM TERM REVENUE AND EXPENDITURE FRAMEWORK. In terms of the proposal, the increase should be linked to the consumer price index (CPI) which is estimated to be 5.2% for 2019/ 2020.</w:t>
      </w:r>
    </w:p>
    <w:p w:rsidR="001977D2" w:rsidRDefault="001977D2" w:rsidP="00F60DD2">
      <w:pPr>
        <w:spacing w:after="0" w:line="360" w:lineRule="auto"/>
        <w:jc w:val="both"/>
        <w:rPr>
          <w:rFonts w:ascii="Calibri" w:eastAsia="Times New Roman" w:hAnsi="Calibri" w:cs="Calibri"/>
        </w:rPr>
      </w:pPr>
    </w:p>
    <w:p w:rsidR="00F60DD2" w:rsidRPr="0020194E" w:rsidRDefault="00F60DD2" w:rsidP="00F60DD2">
      <w:pPr>
        <w:spacing w:after="0" w:line="360" w:lineRule="auto"/>
        <w:jc w:val="both"/>
        <w:rPr>
          <w:rFonts w:ascii="Calibri" w:eastAsia="Times New Roman" w:hAnsi="Calibri" w:cs="Calibri"/>
        </w:rPr>
      </w:pPr>
      <w:r>
        <w:rPr>
          <w:rFonts w:ascii="Calibri" w:eastAsia="Times New Roman" w:hAnsi="Calibri" w:cs="Calibri"/>
        </w:rPr>
        <w:t>The tariffs will be applicable for the following period;</w:t>
      </w:r>
    </w:p>
    <w:p w:rsidR="00F60DD2" w:rsidRPr="0020194E" w:rsidRDefault="00F60DD2" w:rsidP="00F60DD2">
      <w:pPr>
        <w:spacing w:after="0" w:line="360" w:lineRule="auto"/>
        <w:jc w:val="both"/>
        <w:rPr>
          <w:rFonts w:ascii="Calibri" w:eastAsia="Times New Roman" w:hAnsi="Calibri" w:cs="Calibri"/>
          <w:b/>
          <w:bCs/>
        </w:rPr>
      </w:pPr>
      <w:r>
        <w:rPr>
          <w:rFonts w:ascii="Calibri" w:eastAsia="Times New Roman" w:hAnsi="Calibri" w:cs="Calibri"/>
          <w:b/>
          <w:bCs/>
        </w:rPr>
        <w:t>Start date: 01 JULY 20</w:t>
      </w:r>
      <w:r w:rsidR="00325727">
        <w:rPr>
          <w:rFonts w:ascii="Calibri" w:eastAsia="Times New Roman" w:hAnsi="Calibri" w:cs="Calibri"/>
          <w:b/>
          <w:bCs/>
        </w:rPr>
        <w:t>20</w:t>
      </w:r>
    </w:p>
    <w:p w:rsidR="00F60DD2" w:rsidRDefault="00F60DD2" w:rsidP="00F60DD2">
      <w:pPr>
        <w:spacing w:after="0" w:line="360" w:lineRule="auto"/>
        <w:jc w:val="both"/>
        <w:rPr>
          <w:rFonts w:ascii="Calibri" w:eastAsia="Times New Roman" w:hAnsi="Calibri" w:cs="Calibri"/>
          <w:b/>
          <w:bCs/>
        </w:rPr>
      </w:pPr>
      <w:r>
        <w:rPr>
          <w:rFonts w:ascii="Calibri" w:eastAsia="Times New Roman" w:hAnsi="Calibri" w:cs="Calibri"/>
          <w:b/>
          <w:bCs/>
        </w:rPr>
        <w:t>End date: 30 JUNE 202</w:t>
      </w:r>
      <w:r w:rsidR="00325727">
        <w:rPr>
          <w:rFonts w:ascii="Calibri" w:eastAsia="Times New Roman" w:hAnsi="Calibri" w:cs="Calibri"/>
          <w:b/>
          <w:bCs/>
        </w:rPr>
        <w:t>1</w:t>
      </w:r>
    </w:p>
    <w:p w:rsidR="00F60DD2" w:rsidRDefault="00F60DD2" w:rsidP="00F60DD2">
      <w:pPr>
        <w:spacing w:after="0" w:line="360" w:lineRule="auto"/>
        <w:contextualSpacing/>
        <w:jc w:val="both"/>
        <w:rPr>
          <w:rFonts w:ascii="Calibri" w:eastAsia="Times New Roman" w:hAnsi="Calibri" w:cs="Calibri"/>
          <w:b/>
          <w:bCs/>
        </w:rPr>
      </w:pPr>
    </w:p>
    <w:p w:rsidR="00F60DD2" w:rsidRPr="004E624F" w:rsidRDefault="00F60DD2" w:rsidP="00F60DD2">
      <w:pPr>
        <w:pStyle w:val="ListParagraph"/>
        <w:numPr>
          <w:ilvl w:val="0"/>
          <w:numId w:val="46"/>
        </w:numPr>
        <w:spacing w:after="0" w:line="360" w:lineRule="auto"/>
        <w:ind w:left="360"/>
        <w:jc w:val="both"/>
        <w:rPr>
          <w:rFonts w:ascii="Calibri" w:eastAsia="Times New Roman" w:hAnsi="Calibri" w:cs="Calibri"/>
          <w:b/>
          <w:bCs/>
        </w:rPr>
      </w:pPr>
      <w:r w:rsidRPr="004E624F">
        <w:rPr>
          <w:rFonts w:ascii="Calibri" w:eastAsia="Times New Roman" w:hAnsi="Calibri" w:cs="Calibri"/>
          <w:b/>
          <w:bCs/>
        </w:rPr>
        <w:t>TARIFFS: WATER SUPPLY SERVICES AND INCIDENTAL CHARGES</w:t>
      </w:r>
    </w:p>
    <w:p w:rsidR="00F60DD2" w:rsidRPr="00ED2E70" w:rsidRDefault="00F60DD2" w:rsidP="00F60DD2">
      <w:pPr>
        <w:spacing w:after="0" w:line="360" w:lineRule="auto"/>
        <w:jc w:val="both"/>
        <w:rPr>
          <w:rFonts w:ascii="Calibri" w:eastAsia="Times New Roman" w:hAnsi="Calibri" w:cs="Calibri"/>
        </w:rPr>
      </w:pPr>
      <w:r w:rsidRPr="00ED2E70">
        <w:rPr>
          <w:rFonts w:ascii="Calibri" w:eastAsia="Times New Roman" w:hAnsi="Calibri" w:cs="Calibri"/>
        </w:rPr>
        <w:t>The amounts due</w:t>
      </w:r>
      <w:r>
        <w:rPr>
          <w:rFonts w:ascii="Calibri" w:eastAsia="Times New Roman" w:hAnsi="Calibri" w:cs="Calibri"/>
        </w:rPr>
        <w:t xml:space="preserve"> for water services for the 20</w:t>
      </w:r>
      <w:r w:rsidR="00325727">
        <w:rPr>
          <w:rFonts w:ascii="Calibri" w:eastAsia="Times New Roman" w:hAnsi="Calibri" w:cs="Calibri"/>
        </w:rPr>
        <w:t>20</w:t>
      </w:r>
      <w:r>
        <w:rPr>
          <w:rFonts w:ascii="Calibri" w:eastAsia="Times New Roman" w:hAnsi="Calibri" w:cs="Calibri"/>
        </w:rPr>
        <w:t>/202</w:t>
      </w:r>
      <w:r w:rsidR="00325727">
        <w:rPr>
          <w:rFonts w:ascii="Calibri" w:eastAsia="Times New Roman" w:hAnsi="Calibri" w:cs="Calibri"/>
        </w:rPr>
        <w:t>1</w:t>
      </w:r>
      <w:r w:rsidRPr="00ED2E70">
        <w:rPr>
          <w:rFonts w:ascii="Calibri" w:eastAsia="Times New Roman" w:hAnsi="Calibri" w:cs="Calibri"/>
        </w:rPr>
        <w:t xml:space="preserve"> financial year be paid on dates as indicated on accounts which will be render</w:t>
      </w:r>
      <w:r>
        <w:rPr>
          <w:rFonts w:ascii="Calibri" w:eastAsia="Times New Roman" w:hAnsi="Calibri" w:cs="Calibri"/>
        </w:rPr>
        <w:t>ed from 1 July 20</w:t>
      </w:r>
      <w:r w:rsidR="00325727">
        <w:rPr>
          <w:rFonts w:ascii="Calibri" w:eastAsia="Times New Roman" w:hAnsi="Calibri" w:cs="Calibri"/>
        </w:rPr>
        <w:t>20</w:t>
      </w:r>
      <w:r w:rsidRPr="00ED2E70">
        <w:rPr>
          <w:rFonts w:ascii="Calibri" w:eastAsia="Times New Roman" w:hAnsi="Calibri" w:cs="Calibri"/>
        </w:rPr>
        <w:t>.</w:t>
      </w:r>
    </w:p>
    <w:p w:rsidR="00F60DD2" w:rsidRPr="00ED2E70" w:rsidRDefault="00F60DD2" w:rsidP="00F60DD2">
      <w:pPr>
        <w:spacing w:after="0" w:line="360" w:lineRule="auto"/>
        <w:jc w:val="both"/>
        <w:rPr>
          <w:rFonts w:ascii="Calibri" w:eastAsia="Times New Roman" w:hAnsi="Calibri" w:cs="Calibri"/>
        </w:rPr>
      </w:pPr>
    </w:p>
    <w:p w:rsidR="00F60DD2" w:rsidRPr="00ED2E70" w:rsidRDefault="00F60DD2" w:rsidP="00F60DD2">
      <w:pPr>
        <w:numPr>
          <w:ilvl w:val="1"/>
          <w:numId w:val="41"/>
        </w:numPr>
        <w:spacing w:after="0" w:line="360" w:lineRule="auto"/>
        <w:ind w:left="720"/>
        <w:contextualSpacing/>
        <w:jc w:val="both"/>
        <w:rPr>
          <w:rFonts w:ascii="Calibri" w:eastAsia="Times New Roman" w:hAnsi="Calibri" w:cs="Calibri"/>
        </w:rPr>
      </w:pPr>
      <w:r w:rsidRPr="00ED2E70">
        <w:rPr>
          <w:rFonts w:ascii="Calibri" w:eastAsia="Times New Roman" w:hAnsi="Calibri" w:cs="Calibri"/>
        </w:rPr>
        <w:t>The Sewerage Charges will be linke</w:t>
      </w:r>
      <w:r>
        <w:rPr>
          <w:rFonts w:ascii="Calibri" w:eastAsia="Times New Roman" w:hAnsi="Calibri" w:cs="Calibri"/>
        </w:rPr>
        <w:t>d to the account where either a waterborne sewer</w:t>
      </w:r>
      <w:r w:rsidRPr="00ED2E70">
        <w:rPr>
          <w:rFonts w:ascii="Calibri" w:eastAsia="Times New Roman" w:hAnsi="Calibri" w:cs="Calibri"/>
        </w:rPr>
        <w:t xml:space="preserve"> connection </w:t>
      </w:r>
      <w:r>
        <w:rPr>
          <w:rFonts w:ascii="Calibri" w:eastAsia="Times New Roman" w:hAnsi="Calibri" w:cs="Calibri"/>
        </w:rPr>
        <w:t xml:space="preserve">or septic tank sewer </w:t>
      </w:r>
      <w:r w:rsidRPr="00ED2E70">
        <w:rPr>
          <w:rFonts w:ascii="Calibri" w:eastAsia="Times New Roman" w:hAnsi="Calibri" w:cs="Calibri"/>
        </w:rPr>
        <w:t xml:space="preserve">is </w:t>
      </w:r>
      <w:r>
        <w:rPr>
          <w:rFonts w:ascii="Calibri" w:eastAsia="Times New Roman" w:hAnsi="Calibri" w:cs="Calibri"/>
        </w:rPr>
        <w:t>available</w:t>
      </w:r>
      <w:r w:rsidRPr="00ED2E70">
        <w:rPr>
          <w:rFonts w:ascii="Calibri" w:eastAsia="Times New Roman" w:hAnsi="Calibri" w:cs="Calibri"/>
        </w:rPr>
        <w:t>.</w:t>
      </w:r>
    </w:p>
    <w:p w:rsidR="00F60DD2" w:rsidRPr="00ED2E70" w:rsidRDefault="00F60DD2" w:rsidP="00F60DD2">
      <w:pPr>
        <w:numPr>
          <w:ilvl w:val="1"/>
          <w:numId w:val="41"/>
        </w:numPr>
        <w:spacing w:after="0" w:line="360" w:lineRule="auto"/>
        <w:ind w:left="720"/>
        <w:contextualSpacing/>
        <w:jc w:val="both"/>
        <w:rPr>
          <w:rFonts w:ascii="Calibri" w:eastAsia="Times New Roman" w:hAnsi="Calibri" w:cs="Calibri"/>
        </w:rPr>
      </w:pPr>
      <w:r w:rsidRPr="00ED2E70">
        <w:rPr>
          <w:rFonts w:ascii="Calibri" w:eastAsia="Times New Roman" w:hAnsi="Calibri" w:cs="Calibri"/>
        </w:rPr>
        <w:t>Reference to “per month” in the tariffs is based on a meter reading period of 30 days with regard to the calculation of a charge for the free consumption portion.</w:t>
      </w:r>
    </w:p>
    <w:p w:rsidR="00F60DD2" w:rsidRPr="00FE0271" w:rsidRDefault="00F60DD2" w:rsidP="00F60DD2">
      <w:pPr>
        <w:numPr>
          <w:ilvl w:val="1"/>
          <w:numId w:val="41"/>
        </w:numPr>
        <w:spacing w:after="0" w:line="360" w:lineRule="auto"/>
        <w:ind w:left="720"/>
        <w:contextualSpacing/>
        <w:jc w:val="both"/>
        <w:rPr>
          <w:rFonts w:ascii="Calibri" w:eastAsia="Times New Roman" w:hAnsi="Calibri" w:cs="Calibri"/>
        </w:rPr>
      </w:pPr>
      <w:r w:rsidRPr="00ED2E70">
        <w:rPr>
          <w:rFonts w:ascii="Calibri" w:eastAsia="Times New Roman" w:hAnsi="Calibri" w:cs="Calibri"/>
        </w:rPr>
        <w:t>Use is the determining factor for tariff application but where a mixed use occurs on any given property the property zoning will be the determining factor in the tariff</w:t>
      </w:r>
      <w:r>
        <w:rPr>
          <w:rFonts w:ascii="Calibri" w:eastAsia="Times New Roman" w:hAnsi="Calibri" w:cs="Calibri"/>
        </w:rPr>
        <w:t xml:space="preserve"> </w:t>
      </w:r>
      <w:r w:rsidRPr="00FE0271">
        <w:rPr>
          <w:rFonts w:ascii="Calibri" w:eastAsia="Times New Roman" w:hAnsi="Calibri" w:cs="Calibri"/>
        </w:rPr>
        <w:t>Application.</w:t>
      </w:r>
    </w:p>
    <w:p w:rsidR="00F60DD2" w:rsidRPr="00ED2E70" w:rsidRDefault="00F60DD2" w:rsidP="00F60DD2">
      <w:pPr>
        <w:numPr>
          <w:ilvl w:val="1"/>
          <w:numId w:val="41"/>
        </w:numPr>
        <w:spacing w:after="0" w:line="360" w:lineRule="auto"/>
        <w:ind w:left="720"/>
        <w:contextualSpacing/>
        <w:jc w:val="both"/>
        <w:rPr>
          <w:rFonts w:ascii="Calibri" w:eastAsia="Times New Roman" w:hAnsi="Calibri" w:cs="Calibri"/>
        </w:rPr>
      </w:pPr>
      <w:r w:rsidRPr="00ED2E70">
        <w:rPr>
          <w:rFonts w:ascii="Calibri" w:eastAsia="Times New Roman" w:hAnsi="Calibri" w:cs="Calibri"/>
        </w:rPr>
        <w:t xml:space="preserve">ALL TARIFFS LISTED BELOW OR TO BE CALCULATED IN TERMS OF THIS SCHEDULE OF TARIFFS </w:t>
      </w:r>
      <w:r>
        <w:rPr>
          <w:rFonts w:ascii="Calibri" w:eastAsia="Times New Roman" w:hAnsi="Calibri" w:cs="Calibri"/>
          <w:b/>
          <w:bCs/>
        </w:rPr>
        <w:t>IN</w:t>
      </w:r>
      <w:r w:rsidRPr="00ED2E70">
        <w:rPr>
          <w:rFonts w:ascii="Calibri" w:eastAsia="Times New Roman" w:hAnsi="Calibri" w:cs="Calibri"/>
          <w:b/>
          <w:bCs/>
        </w:rPr>
        <w:t>CLUDE VAT.</w:t>
      </w:r>
    </w:p>
    <w:p w:rsidR="00F60DD2" w:rsidRPr="00ED2E70" w:rsidRDefault="00F60DD2" w:rsidP="00F60DD2">
      <w:pPr>
        <w:spacing w:after="0" w:line="360" w:lineRule="auto"/>
        <w:jc w:val="both"/>
        <w:rPr>
          <w:rFonts w:ascii="Calibri" w:eastAsia="Times New Roman" w:hAnsi="Calibri" w:cs="Calibri"/>
        </w:rPr>
      </w:pPr>
    </w:p>
    <w:p w:rsidR="00F60DD2" w:rsidRPr="004E624F" w:rsidRDefault="00F60DD2" w:rsidP="00F60DD2">
      <w:pPr>
        <w:pStyle w:val="ListParagraph"/>
        <w:numPr>
          <w:ilvl w:val="1"/>
          <w:numId w:val="46"/>
        </w:numPr>
        <w:spacing w:after="0" w:line="360" w:lineRule="auto"/>
        <w:jc w:val="both"/>
        <w:rPr>
          <w:rFonts w:ascii="Calibri" w:eastAsia="Times New Roman" w:hAnsi="Calibri" w:cs="Calibri"/>
          <w:b/>
          <w:bCs/>
        </w:rPr>
      </w:pPr>
      <w:r w:rsidRPr="004E624F">
        <w:rPr>
          <w:rFonts w:ascii="Calibri" w:eastAsia="Times New Roman" w:hAnsi="Calibri" w:cs="Calibri"/>
          <w:b/>
          <w:bCs/>
        </w:rPr>
        <w:t>WATER TARIFFS</w:t>
      </w:r>
    </w:p>
    <w:p w:rsidR="00F60DD2" w:rsidRDefault="00F60DD2" w:rsidP="00F60DD2">
      <w:pPr>
        <w:spacing w:after="0" w:line="360" w:lineRule="auto"/>
        <w:ind w:firstLine="644"/>
        <w:jc w:val="both"/>
        <w:rPr>
          <w:rFonts w:ascii="Calibri" w:eastAsia="Times New Roman" w:hAnsi="Calibri" w:cs="Calibri"/>
        </w:rPr>
      </w:pPr>
      <w:r w:rsidRPr="00ED2E70">
        <w:rPr>
          <w:rFonts w:ascii="Calibri" w:eastAsia="Times New Roman" w:hAnsi="Calibri" w:cs="Calibri"/>
        </w:rPr>
        <w:t xml:space="preserve">Charges shall be levied in respect of each separate connection for water. </w:t>
      </w:r>
      <w:r>
        <w:rPr>
          <w:rFonts w:ascii="Calibri" w:eastAsia="Times New Roman" w:hAnsi="Calibri" w:cs="Calibri"/>
        </w:rPr>
        <w:t>The tariffs relating</w:t>
      </w:r>
      <w:r w:rsidRPr="00ED2E70">
        <w:rPr>
          <w:rFonts w:ascii="Calibri" w:eastAsia="Times New Roman" w:hAnsi="Calibri" w:cs="Calibri"/>
        </w:rPr>
        <w:t xml:space="preserve"> to </w:t>
      </w:r>
      <w:r>
        <w:rPr>
          <w:rFonts w:ascii="Calibri" w:eastAsia="Times New Roman" w:hAnsi="Calibri" w:cs="Calibri"/>
        </w:rPr>
        <w:tab/>
        <w:t>consumption of water will be levied as from 01 July 20</w:t>
      </w:r>
      <w:r w:rsidR="008D7933">
        <w:rPr>
          <w:rFonts w:ascii="Calibri" w:eastAsia="Times New Roman" w:hAnsi="Calibri" w:cs="Calibri"/>
        </w:rPr>
        <w:t>20</w:t>
      </w:r>
      <w:r w:rsidRPr="00ED2E70">
        <w:rPr>
          <w:rFonts w:ascii="Calibri" w:eastAsia="Times New Roman" w:hAnsi="Calibri" w:cs="Calibri"/>
        </w:rPr>
        <w:t xml:space="preserve"> </w:t>
      </w:r>
      <w:r>
        <w:rPr>
          <w:rFonts w:ascii="Calibri" w:eastAsia="Times New Roman" w:hAnsi="Calibri" w:cs="Calibri"/>
        </w:rPr>
        <w:t xml:space="preserve">on all accounts linked to water </w:t>
      </w:r>
      <w:r w:rsidRPr="00ED2E70">
        <w:rPr>
          <w:rFonts w:ascii="Calibri" w:eastAsia="Times New Roman" w:hAnsi="Calibri" w:cs="Calibri"/>
        </w:rPr>
        <w:t xml:space="preserve">and </w:t>
      </w:r>
      <w:r>
        <w:rPr>
          <w:rFonts w:ascii="Calibri" w:eastAsia="Times New Roman" w:hAnsi="Calibri" w:cs="Calibri"/>
        </w:rPr>
        <w:tab/>
      </w:r>
      <w:r w:rsidRPr="00ED2E70">
        <w:rPr>
          <w:rFonts w:ascii="Calibri" w:eastAsia="Times New Roman" w:hAnsi="Calibri" w:cs="Calibri"/>
        </w:rPr>
        <w:t xml:space="preserve">accounts </w:t>
      </w:r>
      <w:r>
        <w:rPr>
          <w:rFonts w:ascii="Calibri" w:eastAsia="Times New Roman" w:hAnsi="Calibri" w:cs="Calibri"/>
        </w:rPr>
        <w:t>opened after July 20</w:t>
      </w:r>
      <w:r w:rsidR="008D7933">
        <w:rPr>
          <w:rFonts w:ascii="Calibri" w:eastAsia="Times New Roman" w:hAnsi="Calibri" w:cs="Calibri"/>
        </w:rPr>
        <w:t>20</w:t>
      </w:r>
      <w:r w:rsidRPr="00ED2E70">
        <w:rPr>
          <w:rFonts w:ascii="Calibri" w:eastAsia="Times New Roman" w:hAnsi="Calibri" w:cs="Calibri"/>
        </w:rPr>
        <w:t xml:space="preserve"> </w:t>
      </w:r>
      <w:r>
        <w:rPr>
          <w:rFonts w:ascii="Calibri" w:eastAsia="Times New Roman" w:hAnsi="Calibri" w:cs="Calibri"/>
        </w:rPr>
        <w:t xml:space="preserve">will be levied for the applicable period of the year. </w:t>
      </w:r>
    </w:p>
    <w:p w:rsidR="00F60DD2" w:rsidRPr="004E624F" w:rsidRDefault="00F60DD2" w:rsidP="00F60DD2">
      <w:pPr>
        <w:pStyle w:val="ListParagraph"/>
        <w:numPr>
          <w:ilvl w:val="1"/>
          <w:numId w:val="46"/>
        </w:numPr>
        <w:spacing w:after="0" w:line="360" w:lineRule="auto"/>
        <w:jc w:val="both"/>
        <w:rPr>
          <w:rFonts w:ascii="Calibri" w:eastAsia="Times New Roman" w:hAnsi="Calibri" w:cs="Calibri"/>
        </w:rPr>
      </w:pPr>
      <w:r w:rsidRPr="004E624F">
        <w:rPr>
          <w:rFonts w:ascii="Calibri" w:eastAsia="Times New Roman" w:hAnsi="Calibri" w:cs="Calibri"/>
          <w:b/>
          <w:bCs/>
        </w:rPr>
        <w:t>CONSUMPTION TARIFFS BASED ON WATER RELATED SERVICES</w:t>
      </w:r>
    </w:p>
    <w:p w:rsidR="00F60DD2" w:rsidRDefault="00F60DD2" w:rsidP="00F60DD2">
      <w:pPr>
        <w:spacing w:after="0" w:line="360" w:lineRule="auto"/>
        <w:ind w:firstLine="644"/>
        <w:jc w:val="both"/>
        <w:rPr>
          <w:rFonts w:ascii="Calibri" w:eastAsia="Times New Roman" w:hAnsi="Calibri" w:cs="Calibri"/>
        </w:rPr>
      </w:pPr>
      <w:r>
        <w:rPr>
          <w:rFonts w:ascii="Calibri" w:eastAsia="Times New Roman" w:hAnsi="Calibri" w:cs="Calibri"/>
        </w:rPr>
        <w:t>The tariffs listed under this section</w:t>
      </w:r>
      <w:r w:rsidRPr="00ED2E70">
        <w:rPr>
          <w:rFonts w:ascii="Calibri" w:eastAsia="Times New Roman" w:hAnsi="Calibri" w:cs="Calibri"/>
        </w:rPr>
        <w:t xml:space="preserve"> shall be payable where water, used solely for household </w:t>
      </w:r>
      <w:r>
        <w:rPr>
          <w:rFonts w:ascii="Calibri" w:eastAsia="Times New Roman" w:hAnsi="Calibri" w:cs="Calibri"/>
        </w:rPr>
        <w:tab/>
      </w:r>
      <w:r w:rsidRPr="00ED2E70">
        <w:rPr>
          <w:rFonts w:ascii="Calibri" w:eastAsia="Times New Roman" w:hAnsi="Calibri" w:cs="Calibri"/>
        </w:rPr>
        <w:t xml:space="preserve">purposes, including temporarily connections for this purpose, has been supplied. In the case of </w:t>
      </w:r>
      <w:r>
        <w:rPr>
          <w:rFonts w:ascii="Calibri" w:eastAsia="Times New Roman" w:hAnsi="Calibri" w:cs="Calibri"/>
        </w:rPr>
        <w:tab/>
      </w:r>
      <w:r w:rsidRPr="00ED2E70">
        <w:rPr>
          <w:rFonts w:ascii="Calibri" w:eastAsia="Times New Roman" w:hAnsi="Calibri" w:cs="Calibri"/>
        </w:rPr>
        <w:t xml:space="preserve">hostels and old age homes, every 4 beds shall be deemed to be a residential unit. Where the </w:t>
      </w:r>
      <w:r>
        <w:rPr>
          <w:rFonts w:ascii="Calibri" w:eastAsia="Times New Roman" w:hAnsi="Calibri" w:cs="Calibri"/>
        </w:rPr>
        <w:tab/>
      </w:r>
      <w:r w:rsidRPr="00ED2E70">
        <w:rPr>
          <w:rFonts w:ascii="Calibri" w:eastAsia="Times New Roman" w:hAnsi="Calibri" w:cs="Calibri"/>
        </w:rPr>
        <w:t xml:space="preserve">Housing Department officially accommodates two or three beneficiaries (families) per stand, each </w:t>
      </w:r>
      <w:r>
        <w:rPr>
          <w:rFonts w:ascii="Calibri" w:eastAsia="Times New Roman" w:hAnsi="Calibri" w:cs="Calibri"/>
        </w:rPr>
        <w:tab/>
      </w:r>
      <w:r w:rsidRPr="00ED2E70">
        <w:rPr>
          <w:rFonts w:ascii="Calibri" w:eastAsia="Times New Roman" w:hAnsi="Calibri" w:cs="Calibri"/>
        </w:rPr>
        <w:t>beneficiary (family) is deemed to be a residential unit.</w:t>
      </w:r>
    </w:p>
    <w:p w:rsidR="00F60DD2" w:rsidRDefault="00F60DD2" w:rsidP="00F60DD2">
      <w:pPr>
        <w:spacing w:after="0" w:line="360" w:lineRule="auto"/>
        <w:jc w:val="both"/>
        <w:rPr>
          <w:rFonts w:ascii="Calibri" w:eastAsia="Times New Roman" w:hAnsi="Calibri" w:cs="Calibri"/>
          <w:b/>
        </w:rPr>
      </w:pPr>
    </w:p>
    <w:p w:rsidR="00F60DD2" w:rsidRDefault="00F60DD2" w:rsidP="00F60DD2">
      <w:pPr>
        <w:spacing w:after="0" w:line="360" w:lineRule="auto"/>
        <w:jc w:val="both"/>
        <w:rPr>
          <w:rFonts w:ascii="Calibri" w:eastAsia="Times New Roman" w:hAnsi="Calibri" w:cs="Calibri"/>
          <w:b/>
        </w:rPr>
      </w:pPr>
    </w:p>
    <w:p w:rsidR="008D7933" w:rsidRDefault="008D7933" w:rsidP="00F60DD2">
      <w:pPr>
        <w:spacing w:after="0" w:line="360" w:lineRule="auto"/>
        <w:jc w:val="both"/>
        <w:rPr>
          <w:rFonts w:ascii="Calibri" w:eastAsia="Times New Roman" w:hAnsi="Calibri" w:cs="Calibri"/>
          <w:b/>
        </w:rPr>
      </w:pPr>
    </w:p>
    <w:p w:rsidR="008D7933" w:rsidRDefault="008D7933" w:rsidP="00F60DD2">
      <w:pPr>
        <w:spacing w:after="0" w:line="360" w:lineRule="auto"/>
        <w:jc w:val="both"/>
        <w:rPr>
          <w:rFonts w:ascii="Calibri" w:eastAsia="Times New Roman" w:hAnsi="Calibri" w:cs="Calibri"/>
          <w:b/>
        </w:rPr>
      </w:pPr>
    </w:p>
    <w:p w:rsidR="00F60DD2" w:rsidRPr="00ED2E70" w:rsidRDefault="00F60DD2" w:rsidP="00F60DD2">
      <w:pPr>
        <w:spacing w:after="0" w:line="360" w:lineRule="auto"/>
        <w:ind w:firstLine="644"/>
        <w:jc w:val="both"/>
        <w:rPr>
          <w:rFonts w:ascii="Calibri" w:eastAsia="Times New Roman" w:hAnsi="Calibri" w:cs="Calibri"/>
          <w:b/>
        </w:rPr>
      </w:pPr>
      <w:r>
        <w:rPr>
          <w:rFonts w:ascii="Calibri" w:eastAsia="Times New Roman" w:hAnsi="Calibri" w:cs="Calibri"/>
          <w:b/>
        </w:rPr>
        <w:t>1.3</w:t>
      </w:r>
      <w:r w:rsidRPr="00ED2E70">
        <w:rPr>
          <w:rFonts w:ascii="Calibri" w:eastAsia="Times New Roman" w:hAnsi="Calibri" w:cs="Calibri"/>
          <w:b/>
        </w:rPr>
        <w:t xml:space="preserve"> </w:t>
      </w:r>
      <w:r>
        <w:rPr>
          <w:rFonts w:ascii="Calibri" w:eastAsia="Times New Roman" w:hAnsi="Calibri" w:cs="Calibri"/>
          <w:b/>
        </w:rPr>
        <w:t>Domestic/ Household water use</w:t>
      </w:r>
    </w:p>
    <w:p w:rsidR="00F60DD2" w:rsidRDefault="00F60DD2" w:rsidP="00F60DD2">
      <w:pPr>
        <w:spacing w:after="0" w:line="360" w:lineRule="auto"/>
        <w:ind w:firstLine="644"/>
        <w:jc w:val="both"/>
        <w:rPr>
          <w:rFonts w:ascii="Calibri" w:eastAsia="Times New Roman" w:hAnsi="Calibri" w:cs="Calibri"/>
        </w:rPr>
      </w:pPr>
      <w:r w:rsidRPr="00ED2E70">
        <w:rPr>
          <w:rFonts w:ascii="Calibri" w:eastAsia="Times New Roman" w:hAnsi="Calibri" w:cs="Calibri"/>
        </w:rPr>
        <w:t>This tariff is only applicable to properties used exclusively for household purposes.</w:t>
      </w:r>
      <w:r>
        <w:rPr>
          <w:rFonts w:ascii="Calibri" w:eastAsia="Times New Roman" w:hAnsi="Calibri" w:cs="Calibri"/>
        </w:rPr>
        <w:t xml:space="preserve"> </w:t>
      </w:r>
      <w:r w:rsidRPr="00ED2E70">
        <w:rPr>
          <w:rFonts w:ascii="Calibri" w:eastAsia="Times New Roman" w:hAnsi="Calibri" w:cs="Calibri"/>
        </w:rPr>
        <w:t xml:space="preserve">In the event </w:t>
      </w:r>
      <w:r>
        <w:rPr>
          <w:rFonts w:ascii="Calibri" w:eastAsia="Times New Roman" w:hAnsi="Calibri" w:cs="Calibri"/>
        </w:rPr>
        <w:tab/>
      </w:r>
      <w:r w:rsidRPr="00ED2E70">
        <w:rPr>
          <w:rFonts w:ascii="Calibri" w:eastAsia="Times New Roman" w:hAnsi="Calibri" w:cs="Calibri"/>
        </w:rPr>
        <w:t xml:space="preserve">that a small business is conducted as a primary right in terms of a Town Planning Scheme, or home </w:t>
      </w:r>
      <w:r>
        <w:rPr>
          <w:rFonts w:ascii="Calibri" w:eastAsia="Times New Roman" w:hAnsi="Calibri" w:cs="Calibri"/>
        </w:rPr>
        <w:tab/>
      </w:r>
      <w:r w:rsidRPr="00ED2E70">
        <w:rPr>
          <w:rFonts w:ascii="Calibri" w:eastAsia="Times New Roman" w:hAnsi="Calibri" w:cs="Calibri"/>
        </w:rPr>
        <w:t xml:space="preserve">enterprise in terms of the Council’s policy, from a property used for household purposes, and the </w:t>
      </w:r>
      <w:r>
        <w:rPr>
          <w:rFonts w:ascii="Calibri" w:eastAsia="Times New Roman" w:hAnsi="Calibri" w:cs="Calibri"/>
        </w:rPr>
        <w:tab/>
      </w:r>
      <w:r w:rsidRPr="00ED2E70">
        <w:rPr>
          <w:rFonts w:ascii="Calibri" w:eastAsia="Times New Roman" w:hAnsi="Calibri" w:cs="Calibri"/>
        </w:rPr>
        <w:t xml:space="preserve">connection size is either a 15mm or 20mm connection, the tariffs in the table below shall apply. </w:t>
      </w:r>
      <w:r>
        <w:rPr>
          <w:rFonts w:ascii="Calibri" w:eastAsia="Times New Roman" w:hAnsi="Calibri" w:cs="Calibri"/>
        </w:rPr>
        <w:tab/>
      </w:r>
      <w:r w:rsidRPr="00ED2E70">
        <w:rPr>
          <w:rFonts w:ascii="Calibri" w:eastAsia="Times New Roman" w:hAnsi="Calibri" w:cs="Calibri"/>
        </w:rPr>
        <w:t xml:space="preserve">However, any connection which is greater than 20mm and the property is not exclusively used for </w:t>
      </w:r>
      <w:r>
        <w:rPr>
          <w:rFonts w:ascii="Calibri" w:eastAsia="Times New Roman" w:hAnsi="Calibri" w:cs="Calibri"/>
        </w:rPr>
        <w:tab/>
      </w:r>
      <w:r w:rsidRPr="00ED2E70">
        <w:rPr>
          <w:rFonts w:ascii="Calibri" w:eastAsia="Times New Roman" w:hAnsi="Calibri" w:cs="Calibri"/>
        </w:rPr>
        <w:t xml:space="preserve">residential purposes, shall be charged in terms of the tariffs.  </w:t>
      </w:r>
      <w:proofErr w:type="spellStart"/>
      <w:r w:rsidRPr="00ED2E70">
        <w:rPr>
          <w:rFonts w:ascii="Calibri" w:eastAsia="Times New Roman" w:hAnsi="Calibri" w:cs="Calibri"/>
        </w:rPr>
        <w:t>Spaza</w:t>
      </w:r>
      <w:proofErr w:type="spellEnd"/>
      <w:r w:rsidRPr="00ED2E70">
        <w:rPr>
          <w:rFonts w:ascii="Calibri" w:eastAsia="Times New Roman" w:hAnsi="Calibri" w:cs="Calibri"/>
        </w:rPr>
        <w:t xml:space="preserve"> Shops, defined as an area of </w:t>
      </w:r>
      <w:r>
        <w:rPr>
          <w:rFonts w:ascii="Calibri" w:eastAsia="Times New Roman" w:hAnsi="Calibri" w:cs="Calibri"/>
        </w:rPr>
        <w:tab/>
      </w:r>
      <w:r w:rsidRPr="00ED2E70">
        <w:rPr>
          <w:rFonts w:ascii="Calibri" w:eastAsia="Times New Roman" w:hAnsi="Calibri" w:cs="Calibri"/>
        </w:rPr>
        <w:t xml:space="preserve">a dwelling unit and or associated immovable outbuilding not more than 20m² in extent, used by </w:t>
      </w:r>
      <w:r>
        <w:rPr>
          <w:rFonts w:ascii="Calibri" w:eastAsia="Times New Roman" w:hAnsi="Calibri" w:cs="Calibri"/>
        </w:rPr>
        <w:tab/>
      </w:r>
      <w:r w:rsidRPr="00ED2E70">
        <w:rPr>
          <w:rFonts w:ascii="Calibri" w:eastAsia="Times New Roman" w:hAnsi="Calibri" w:cs="Calibri"/>
        </w:rPr>
        <w:t xml:space="preserve">the occupant of such a dwelling unit for the purposes of selling basic household goods, is also </w:t>
      </w:r>
      <w:r>
        <w:rPr>
          <w:rFonts w:ascii="Calibri" w:eastAsia="Times New Roman" w:hAnsi="Calibri" w:cs="Calibri"/>
        </w:rPr>
        <w:tab/>
      </w:r>
      <w:r w:rsidRPr="00ED2E70">
        <w:rPr>
          <w:rFonts w:ascii="Calibri" w:eastAsia="Times New Roman" w:hAnsi="Calibri" w:cs="Calibri"/>
        </w:rPr>
        <w:t>included in this tariff, provided the connection size is either a 15mm or 20mm connection.</w:t>
      </w:r>
    </w:p>
    <w:p w:rsidR="00F60DD2" w:rsidRDefault="00F60DD2" w:rsidP="00F60DD2">
      <w:pPr>
        <w:spacing w:after="0" w:line="360" w:lineRule="auto"/>
        <w:jc w:val="both"/>
        <w:rPr>
          <w:rFonts w:ascii="Calibri" w:eastAsia="Times New Roman" w:hAnsi="Calibri" w:cs="Calibri"/>
        </w:rPr>
      </w:pPr>
    </w:p>
    <w:p w:rsidR="00F60DD2" w:rsidRDefault="008D7933" w:rsidP="00F60DD2">
      <w:pPr>
        <w:spacing w:after="0" w:line="360" w:lineRule="auto"/>
        <w:jc w:val="both"/>
        <w:rPr>
          <w:rFonts w:ascii="Calibri" w:eastAsia="Times New Roman" w:hAnsi="Calibri" w:cs="Calibri"/>
        </w:rPr>
      </w:pPr>
      <w:r w:rsidRPr="008D7933">
        <w:rPr>
          <w:noProof/>
          <w:lang w:val="en-US" w:eastAsia="en-US"/>
        </w:rPr>
        <w:drawing>
          <wp:inline distT="0" distB="0" distL="0" distR="0">
            <wp:extent cx="6165273" cy="1919281"/>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7000" cy="1919818"/>
                    </a:xfrm>
                    <a:prstGeom prst="rect">
                      <a:avLst/>
                    </a:prstGeom>
                    <a:noFill/>
                    <a:ln>
                      <a:noFill/>
                    </a:ln>
                  </pic:spPr>
                </pic:pic>
              </a:graphicData>
            </a:graphic>
          </wp:inline>
        </w:drawing>
      </w:r>
    </w:p>
    <w:p w:rsidR="00F60DD2" w:rsidRPr="004E624F" w:rsidRDefault="00F60DD2" w:rsidP="00F60DD2">
      <w:pPr>
        <w:spacing w:after="0" w:line="360" w:lineRule="auto"/>
        <w:jc w:val="both"/>
        <w:rPr>
          <w:rFonts w:ascii="Calibri" w:eastAsia="Times New Roman" w:hAnsi="Calibri" w:cs="Calibri"/>
          <w:b/>
          <w:i/>
        </w:rPr>
      </w:pPr>
      <w:r w:rsidRPr="004E624F">
        <w:rPr>
          <w:rFonts w:ascii="Calibri" w:eastAsia="Times New Roman" w:hAnsi="Calibri" w:cs="Calibri"/>
          <w:b/>
          <w:i/>
        </w:rPr>
        <w:t>Tariff structure for domestic use</w:t>
      </w:r>
    </w:p>
    <w:p w:rsidR="00F60DD2" w:rsidRPr="0069247F" w:rsidRDefault="00F60DD2" w:rsidP="00F60DD2">
      <w:pPr>
        <w:pStyle w:val="ListParagraph"/>
        <w:numPr>
          <w:ilvl w:val="1"/>
          <w:numId w:val="47"/>
        </w:numPr>
        <w:spacing w:after="0" w:line="360" w:lineRule="auto"/>
        <w:jc w:val="both"/>
        <w:rPr>
          <w:rFonts w:ascii="Calibri" w:eastAsia="Times New Roman" w:hAnsi="Calibri" w:cs="Calibri"/>
          <w:b/>
        </w:rPr>
      </w:pPr>
      <w:r w:rsidRPr="0069247F">
        <w:rPr>
          <w:rFonts w:ascii="Calibri" w:eastAsia="Times New Roman" w:hAnsi="Calibri" w:cs="Calibri"/>
          <w:b/>
        </w:rPr>
        <w:t>Institutional water use</w:t>
      </w:r>
    </w:p>
    <w:p w:rsidR="00F60DD2" w:rsidRPr="0069247F" w:rsidRDefault="00F60DD2" w:rsidP="00F60DD2">
      <w:pPr>
        <w:spacing w:after="0" w:line="360" w:lineRule="auto"/>
        <w:ind w:left="360"/>
        <w:jc w:val="both"/>
        <w:rPr>
          <w:rFonts w:ascii="Calibri" w:eastAsia="Times New Roman" w:hAnsi="Calibri" w:cs="Calibri"/>
        </w:rPr>
      </w:pPr>
      <w:r>
        <w:rPr>
          <w:rFonts w:ascii="Calibri" w:eastAsia="Times New Roman" w:hAnsi="Calibri" w:cs="Calibri"/>
        </w:rPr>
        <w:t>Properties zoned as business, government and municipalities etc. will be charged using this tariff</w:t>
      </w:r>
    </w:p>
    <w:p w:rsidR="00F60DD2" w:rsidRDefault="00C47DA9" w:rsidP="00F60DD2">
      <w:pPr>
        <w:spacing w:after="0" w:line="360" w:lineRule="auto"/>
        <w:jc w:val="both"/>
        <w:rPr>
          <w:rFonts w:ascii="Calibri" w:eastAsia="Times New Roman" w:hAnsi="Calibri" w:cs="Calibri"/>
        </w:rPr>
      </w:pPr>
      <w:r w:rsidRPr="00C47DA9">
        <w:rPr>
          <w:noProof/>
          <w:lang w:val="en-US" w:eastAsia="en-US"/>
        </w:rPr>
        <w:drawing>
          <wp:inline distT="0" distB="0" distL="0" distR="0">
            <wp:extent cx="6453184" cy="200890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64150" cy="2012323"/>
                    </a:xfrm>
                    <a:prstGeom prst="rect">
                      <a:avLst/>
                    </a:prstGeom>
                    <a:noFill/>
                    <a:ln>
                      <a:noFill/>
                    </a:ln>
                  </pic:spPr>
                </pic:pic>
              </a:graphicData>
            </a:graphic>
          </wp:inline>
        </w:drawing>
      </w:r>
    </w:p>
    <w:p w:rsidR="00F60DD2" w:rsidRDefault="00F60DD2" w:rsidP="00F60DD2">
      <w:pPr>
        <w:spacing w:after="0" w:line="360" w:lineRule="auto"/>
        <w:jc w:val="both"/>
        <w:rPr>
          <w:rFonts w:ascii="Calibri" w:eastAsia="Times New Roman" w:hAnsi="Calibri" w:cs="Calibri"/>
        </w:rPr>
      </w:pPr>
    </w:p>
    <w:p w:rsidR="00F60DD2" w:rsidRPr="00F85EF7" w:rsidRDefault="00F60DD2" w:rsidP="00F60DD2">
      <w:pPr>
        <w:pStyle w:val="ListParagraph"/>
        <w:numPr>
          <w:ilvl w:val="1"/>
          <w:numId w:val="47"/>
        </w:numPr>
        <w:rPr>
          <w:rFonts w:ascii="Calibri" w:eastAsia="Times New Roman" w:hAnsi="Calibri" w:cs="Calibri"/>
          <w:b/>
        </w:rPr>
      </w:pPr>
      <w:r w:rsidRPr="00F85EF7">
        <w:rPr>
          <w:rFonts w:ascii="Calibri" w:eastAsia="Times New Roman" w:hAnsi="Calibri" w:cs="Calibri"/>
          <w:b/>
        </w:rPr>
        <w:t>Basic / Availability charges</w:t>
      </w:r>
    </w:p>
    <w:p w:rsidR="00F60DD2" w:rsidRDefault="00F60DD2" w:rsidP="00F60DD2">
      <w:pPr>
        <w:pStyle w:val="ListParagraph"/>
        <w:ind w:left="360"/>
        <w:rPr>
          <w:rFonts w:ascii="Calibri" w:eastAsia="Times New Roman" w:hAnsi="Calibri" w:cs="Calibri"/>
        </w:rPr>
      </w:pPr>
      <w:r>
        <w:rPr>
          <w:rFonts w:ascii="Calibri" w:eastAsia="Times New Roman" w:hAnsi="Calibri" w:cs="Calibri"/>
        </w:rPr>
        <w:t>Basic charges are applicable to all registered properties where water and sanitation (excluding properties supplied with septic tanks) services are supplied.</w:t>
      </w:r>
    </w:p>
    <w:p w:rsidR="00F60DD2" w:rsidRDefault="00F60DD2" w:rsidP="00F60DD2">
      <w:pPr>
        <w:pStyle w:val="ListParagraph"/>
        <w:ind w:left="360"/>
        <w:rPr>
          <w:rFonts w:ascii="Calibri" w:eastAsia="Times New Roman" w:hAnsi="Calibri" w:cs="Calibri"/>
        </w:rPr>
      </w:pPr>
    </w:p>
    <w:p w:rsidR="00F60DD2" w:rsidRDefault="00C47DA9" w:rsidP="00F60DD2">
      <w:pPr>
        <w:pStyle w:val="ListParagraph"/>
        <w:ind w:left="360"/>
        <w:rPr>
          <w:rFonts w:ascii="Calibri" w:eastAsia="Times New Roman" w:hAnsi="Calibri" w:cs="Calibri"/>
        </w:rPr>
      </w:pPr>
      <w:r w:rsidRPr="00C47DA9">
        <w:rPr>
          <w:noProof/>
          <w:lang w:val="en-US" w:eastAsia="en-US"/>
        </w:rPr>
        <w:drawing>
          <wp:inline distT="0" distB="0" distL="0" distR="0">
            <wp:extent cx="6241473" cy="1709087"/>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60309" cy="1714245"/>
                    </a:xfrm>
                    <a:prstGeom prst="rect">
                      <a:avLst/>
                    </a:prstGeom>
                    <a:noFill/>
                    <a:ln>
                      <a:noFill/>
                    </a:ln>
                  </pic:spPr>
                </pic:pic>
              </a:graphicData>
            </a:graphic>
          </wp:inline>
        </w:drawing>
      </w:r>
    </w:p>
    <w:p w:rsidR="00F60DD2" w:rsidRPr="00F85EF7" w:rsidRDefault="00F60DD2" w:rsidP="00F60DD2">
      <w:pPr>
        <w:pStyle w:val="ListParagraph"/>
        <w:ind w:left="360"/>
        <w:rPr>
          <w:rFonts w:ascii="Calibri" w:eastAsia="Times New Roman" w:hAnsi="Calibri" w:cs="Calibri"/>
        </w:rPr>
      </w:pPr>
    </w:p>
    <w:p w:rsidR="00F60DD2" w:rsidRPr="004F0557" w:rsidRDefault="00F60DD2" w:rsidP="00F60DD2">
      <w:pPr>
        <w:pStyle w:val="ListParagraph"/>
        <w:numPr>
          <w:ilvl w:val="1"/>
          <w:numId w:val="47"/>
        </w:numPr>
        <w:rPr>
          <w:rFonts w:ascii="Calibri" w:eastAsia="Times New Roman" w:hAnsi="Calibri" w:cs="Calibri"/>
          <w:b/>
        </w:rPr>
      </w:pPr>
      <w:r w:rsidRPr="004F0557">
        <w:rPr>
          <w:rFonts w:ascii="Calibri" w:eastAsia="Times New Roman" w:hAnsi="Calibri" w:cs="Calibri"/>
          <w:b/>
        </w:rPr>
        <w:t>Water Delivery</w:t>
      </w:r>
    </w:p>
    <w:p w:rsidR="00F60DD2" w:rsidRDefault="00F60DD2" w:rsidP="00F60DD2">
      <w:pPr>
        <w:pStyle w:val="ListParagraph"/>
        <w:ind w:left="360"/>
        <w:rPr>
          <w:rFonts w:ascii="Calibri" w:eastAsia="Times New Roman" w:hAnsi="Calibri" w:cs="Calibri"/>
        </w:rPr>
      </w:pPr>
      <w:r>
        <w:rPr>
          <w:rFonts w:ascii="Calibri" w:eastAsia="Times New Roman" w:hAnsi="Calibri" w:cs="Calibri"/>
        </w:rPr>
        <w:t xml:space="preserve">These tariffs are applicable for trucked water. </w:t>
      </w:r>
    </w:p>
    <w:p w:rsidR="00F60DD2" w:rsidRDefault="00F60DD2" w:rsidP="00F60DD2">
      <w:pPr>
        <w:pStyle w:val="ListParagraph"/>
        <w:ind w:left="360"/>
        <w:rPr>
          <w:rFonts w:ascii="Calibri" w:eastAsia="Times New Roman" w:hAnsi="Calibri" w:cs="Calibri"/>
        </w:rPr>
      </w:pPr>
    </w:p>
    <w:p w:rsidR="00F60DD2" w:rsidRDefault="00C47DA9" w:rsidP="00F60DD2">
      <w:pPr>
        <w:pStyle w:val="ListParagraph"/>
        <w:ind w:left="360"/>
        <w:rPr>
          <w:rFonts w:ascii="Calibri" w:eastAsia="Times New Roman" w:hAnsi="Calibri" w:cs="Calibri"/>
        </w:rPr>
      </w:pPr>
      <w:r w:rsidRPr="00C47DA9">
        <w:rPr>
          <w:noProof/>
          <w:lang w:val="en-US" w:eastAsia="en-US"/>
        </w:rPr>
        <w:drawing>
          <wp:inline distT="0" distB="0" distL="0" distR="0">
            <wp:extent cx="6173685" cy="85205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11451" cy="871069"/>
                    </a:xfrm>
                    <a:prstGeom prst="rect">
                      <a:avLst/>
                    </a:prstGeom>
                    <a:noFill/>
                    <a:ln>
                      <a:noFill/>
                    </a:ln>
                  </pic:spPr>
                </pic:pic>
              </a:graphicData>
            </a:graphic>
          </wp:inline>
        </w:drawing>
      </w:r>
    </w:p>
    <w:p w:rsidR="00F60DD2" w:rsidRDefault="00F60DD2" w:rsidP="00F60DD2">
      <w:pPr>
        <w:pStyle w:val="ListParagraph"/>
        <w:ind w:left="360"/>
        <w:rPr>
          <w:rFonts w:ascii="Calibri" w:eastAsia="Times New Roman" w:hAnsi="Calibri" w:cs="Calibri"/>
        </w:rPr>
      </w:pPr>
    </w:p>
    <w:p w:rsidR="00F60DD2" w:rsidRDefault="00F60DD2" w:rsidP="00F60DD2">
      <w:pPr>
        <w:pStyle w:val="ListParagraph"/>
        <w:ind w:left="360"/>
        <w:rPr>
          <w:rFonts w:ascii="Calibri" w:eastAsia="Times New Roman" w:hAnsi="Calibri" w:cs="Calibri"/>
        </w:rPr>
      </w:pPr>
    </w:p>
    <w:p w:rsidR="00F60DD2" w:rsidRDefault="00F60DD2" w:rsidP="00F60DD2">
      <w:pPr>
        <w:pStyle w:val="ListParagraph"/>
        <w:numPr>
          <w:ilvl w:val="0"/>
          <w:numId w:val="47"/>
        </w:numPr>
        <w:rPr>
          <w:rFonts w:ascii="Calibri" w:eastAsia="Times New Roman" w:hAnsi="Calibri" w:cs="Calibri"/>
          <w:b/>
        </w:rPr>
      </w:pPr>
      <w:r>
        <w:rPr>
          <w:rFonts w:ascii="Calibri" w:eastAsia="Times New Roman" w:hAnsi="Calibri" w:cs="Calibri"/>
          <w:b/>
        </w:rPr>
        <w:t>SANITATION TARIFFS</w:t>
      </w:r>
    </w:p>
    <w:p w:rsidR="00F60DD2" w:rsidRDefault="00F60DD2" w:rsidP="00F60DD2">
      <w:pPr>
        <w:spacing w:after="0" w:line="360" w:lineRule="auto"/>
        <w:jc w:val="both"/>
        <w:rPr>
          <w:rFonts w:ascii="Calibri" w:eastAsia="Times New Roman" w:hAnsi="Calibri" w:cs="Calibri"/>
        </w:rPr>
      </w:pPr>
      <w:r>
        <w:rPr>
          <w:rFonts w:ascii="Calibri" w:eastAsia="Times New Roman" w:hAnsi="Calibri" w:cs="Calibri"/>
        </w:rPr>
        <w:t>A flat rate shall be levied in respect of each household / business / institution relating to sanitation. The tariffs applicable for sanitation services shall apply from 01 July 20</w:t>
      </w:r>
      <w:r w:rsidR="00C47DA9">
        <w:rPr>
          <w:rFonts w:ascii="Calibri" w:eastAsia="Times New Roman" w:hAnsi="Calibri" w:cs="Calibri"/>
        </w:rPr>
        <w:t>20</w:t>
      </w:r>
      <w:r>
        <w:rPr>
          <w:rFonts w:ascii="Calibri" w:eastAsia="Times New Roman" w:hAnsi="Calibri" w:cs="Calibri"/>
        </w:rPr>
        <w:t xml:space="preserve"> and </w:t>
      </w:r>
      <w:r w:rsidRPr="00ED2E70">
        <w:rPr>
          <w:rFonts w:ascii="Calibri" w:eastAsia="Times New Roman" w:hAnsi="Calibri" w:cs="Calibri"/>
        </w:rPr>
        <w:t xml:space="preserve">accounts </w:t>
      </w:r>
      <w:r>
        <w:rPr>
          <w:rFonts w:ascii="Calibri" w:eastAsia="Times New Roman" w:hAnsi="Calibri" w:cs="Calibri"/>
        </w:rPr>
        <w:t>opened after July 20</w:t>
      </w:r>
      <w:r w:rsidR="00C47DA9">
        <w:rPr>
          <w:rFonts w:ascii="Calibri" w:eastAsia="Times New Roman" w:hAnsi="Calibri" w:cs="Calibri"/>
        </w:rPr>
        <w:t>20</w:t>
      </w:r>
      <w:r w:rsidRPr="00ED2E70">
        <w:rPr>
          <w:rFonts w:ascii="Calibri" w:eastAsia="Times New Roman" w:hAnsi="Calibri" w:cs="Calibri"/>
        </w:rPr>
        <w:t xml:space="preserve"> </w:t>
      </w:r>
      <w:r>
        <w:rPr>
          <w:rFonts w:ascii="Calibri" w:eastAsia="Times New Roman" w:hAnsi="Calibri" w:cs="Calibri"/>
        </w:rPr>
        <w:t>will be levied for the applicable period of the year. Properties that use septic tank are charged per removal which include charges per kilometre.</w:t>
      </w:r>
    </w:p>
    <w:p w:rsidR="00F60DD2" w:rsidRDefault="00C47DA9" w:rsidP="00F60DD2">
      <w:pPr>
        <w:rPr>
          <w:rFonts w:ascii="Calibri" w:eastAsia="Times New Roman" w:hAnsi="Calibri" w:cs="Calibri"/>
        </w:rPr>
      </w:pPr>
      <w:r w:rsidRPr="00C47DA9">
        <w:rPr>
          <w:noProof/>
          <w:lang w:val="en-US" w:eastAsia="en-US"/>
        </w:rPr>
        <w:drawing>
          <wp:inline distT="0" distB="0" distL="0" distR="0">
            <wp:extent cx="6483927" cy="4962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1141" cy="524364"/>
                    </a:xfrm>
                    <a:prstGeom prst="rect">
                      <a:avLst/>
                    </a:prstGeom>
                    <a:noFill/>
                    <a:ln>
                      <a:noFill/>
                    </a:ln>
                  </pic:spPr>
                </pic:pic>
              </a:graphicData>
            </a:graphic>
          </wp:inline>
        </w:drawing>
      </w:r>
    </w:p>
    <w:p w:rsidR="00F60DD2" w:rsidRDefault="00C47DA9" w:rsidP="00F60DD2">
      <w:pPr>
        <w:rPr>
          <w:rFonts w:ascii="Calibri" w:eastAsia="Times New Roman" w:hAnsi="Calibri" w:cs="Calibri"/>
        </w:rPr>
      </w:pPr>
      <w:r w:rsidRPr="00C47DA9">
        <w:rPr>
          <w:noProof/>
          <w:lang w:val="en-US" w:eastAsia="en-US"/>
        </w:rPr>
        <w:drawing>
          <wp:inline distT="0" distB="0" distL="0" distR="0">
            <wp:extent cx="6511636" cy="649731"/>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52373" cy="663774"/>
                    </a:xfrm>
                    <a:prstGeom prst="rect">
                      <a:avLst/>
                    </a:prstGeom>
                    <a:noFill/>
                    <a:ln>
                      <a:noFill/>
                    </a:ln>
                  </pic:spPr>
                </pic:pic>
              </a:graphicData>
            </a:graphic>
          </wp:inline>
        </w:drawing>
      </w:r>
    </w:p>
    <w:p w:rsidR="00F60DD2" w:rsidRDefault="00F60DD2" w:rsidP="00F60DD2">
      <w:pPr>
        <w:rPr>
          <w:rFonts w:ascii="Calibri" w:eastAsia="Times New Roman" w:hAnsi="Calibri" w:cs="Calibri"/>
          <w:b/>
        </w:rPr>
      </w:pPr>
    </w:p>
    <w:p w:rsidR="00C55F27" w:rsidRDefault="00C55F27" w:rsidP="00F60DD2">
      <w:pPr>
        <w:rPr>
          <w:rFonts w:ascii="Calibri" w:eastAsia="Times New Roman" w:hAnsi="Calibri" w:cs="Calibri"/>
          <w:b/>
        </w:rPr>
      </w:pPr>
    </w:p>
    <w:p w:rsidR="00C55F27" w:rsidRDefault="00C55F27" w:rsidP="00F60DD2">
      <w:pPr>
        <w:rPr>
          <w:rFonts w:ascii="Calibri" w:eastAsia="Times New Roman" w:hAnsi="Calibri" w:cs="Calibri"/>
          <w:b/>
        </w:rPr>
      </w:pPr>
      <w:r>
        <w:rPr>
          <w:rFonts w:ascii="Calibri" w:eastAsia="Times New Roman" w:hAnsi="Calibri" w:cs="Calibri"/>
          <w:b/>
          <w:noProof/>
          <w:lang w:val="en-US" w:eastAsia="en-US"/>
        </w:rPr>
        <w:drawing>
          <wp:inline distT="0" distB="0" distL="0" distR="0" wp14:anchorId="1C3CFA67">
            <wp:extent cx="6486525" cy="494030"/>
            <wp:effectExtent l="0" t="0" r="9525"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86525" cy="494030"/>
                    </a:xfrm>
                    <a:prstGeom prst="rect">
                      <a:avLst/>
                    </a:prstGeom>
                    <a:noFill/>
                  </pic:spPr>
                </pic:pic>
              </a:graphicData>
            </a:graphic>
          </wp:inline>
        </w:drawing>
      </w:r>
    </w:p>
    <w:p w:rsidR="00F60DD2" w:rsidRDefault="00F60DD2" w:rsidP="00F60DD2">
      <w:pPr>
        <w:rPr>
          <w:rFonts w:ascii="Calibri" w:eastAsia="Times New Roman" w:hAnsi="Calibri" w:cs="Calibri"/>
          <w:b/>
        </w:rPr>
      </w:pPr>
      <w:r w:rsidRPr="00891719">
        <w:rPr>
          <w:noProof/>
          <w:lang w:val="en-US" w:eastAsia="en-US"/>
        </w:rPr>
        <w:drawing>
          <wp:inline distT="0" distB="0" distL="0" distR="0" wp14:anchorId="4F116CC7" wp14:editId="6A86DF5D">
            <wp:extent cx="6486525" cy="10298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710058" cy="1065293"/>
                    </a:xfrm>
                    <a:prstGeom prst="rect">
                      <a:avLst/>
                    </a:prstGeom>
                  </pic:spPr>
                </pic:pic>
              </a:graphicData>
            </a:graphic>
          </wp:inline>
        </w:drawing>
      </w:r>
    </w:p>
    <w:p w:rsidR="00F60DD2" w:rsidRDefault="00F60DD2" w:rsidP="00F60DD2">
      <w:pPr>
        <w:rPr>
          <w:rFonts w:ascii="Calibri" w:eastAsia="Times New Roman" w:hAnsi="Calibri" w:cs="Calibri"/>
          <w:b/>
        </w:rPr>
      </w:pPr>
      <w:r>
        <w:rPr>
          <w:rFonts w:ascii="Calibri" w:eastAsia="Times New Roman" w:hAnsi="Calibri" w:cs="Calibri"/>
          <w:b/>
        </w:rPr>
        <w:t>3.0</w:t>
      </w:r>
      <w:r>
        <w:rPr>
          <w:rFonts w:ascii="Calibri" w:eastAsia="Times New Roman" w:hAnsi="Calibri" w:cs="Calibri"/>
          <w:b/>
        </w:rPr>
        <w:tab/>
        <w:t>Other Tariffs</w:t>
      </w:r>
    </w:p>
    <w:p w:rsidR="00F60DD2" w:rsidRDefault="00F60DD2" w:rsidP="00F60DD2">
      <w:pPr>
        <w:rPr>
          <w:rFonts w:ascii="Calibri" w:eastAsia="Times New Roman" w:hAnsi="Calibri" w:cs="Calibri"/>
          <w:b/>
        </w:rPr>
      </w:pPr>
      <w:r>
        <w:rPr>
          <w:rFonts w:ascii="Calibri" w:eastAsia="Times New Roman" w:hAnsi="Calibri" w:cs="Calibri"/>
          <w:b/>
        </w:rPr>
        <w:tab/>
        <w:t>3.1</w:t>
      </w:r>
      <w:r>
        <w:rPr>
          <w:rFonts w:ascii="Calibri" w:eastAsia="Times New Roman" w:hAnsi="Calibri" w:cs="Calibri"/>
          <w:b/>
        </w:rPr>
        <w:tab/>
        <w:t>Water infrastructure related tariffs</w:t>
      </w:r>
    </w:p>
    <w:p w:rsidR="00C55F27" w:rsidRDefault="00C55F2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F6AC7" w:rsidRDefault="00CF6AC7" w:rsidP="00F60DD2">
      <w:pPr>
        <w:rPr>
          <w:rFonts w:ascii="Calibri" w:eastAsia="Times New Roman" w:hAnsi="Calibri" w:cs="Calibri"/>
          <w:b/>
        </w:rPr>
      </w:pPr>
    </w:p>
    <w:p w:rsidR="00C55F27" w:rsidRDefault="00CF6AC7" w:rsidP="00F60DD2">
      <w:pPr>
        <w:rPr>
          <w:rFonts w:ascii="Calibri" w:eastAsia="Times New Roman" w:hAnsi="Calibri" w:cs="Calibri"/>
          <w:b/>
        </w:rPr>
      </w:pPr>
      <w:r w:rsidRPr="00CF6AC7">
        <w:rPr>
          <w:noProof/>
          <w:lang w:val="en-US" w:eastAsia="en-US"/>
        </w:rPr>
        <w:drawing>
          <wp:inline distT="0" distB="0" distL="0" distR="0">
            <wp:extent cx="5943600" cy="454905"/>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54905"/>
                    </a:xfrm>
                    <a:prstGeom prst="rect">
                      <a:avLst/>
                    </a:prstGeom>
                    <a:noFill/>
                    <a:ln>
                      <a:noFill/>
                    </a:ln>
                  </pic:spPr>
                </pic:pic>
              </a:graphicData>
            </a:graphic>
          </wp:inline>
        </w:drawing>
      </w:r>
    </w:p>
    <w:p w:rsidR="00C55F27" w:rsidRDefault="00CF6AC7" w:rsidP="00F60DD2">
      <w:pPr>
        <w:rPr>
          <w:rFonts w:ascii="Calibri" w:eastAsia="Times New Roman" w:hAnsi="Calibri" w:cs="Calibri"/>
          <w:b/>
        </w:rPr>
      </w:pPr>
      <w:r w:rsidRPr="00CF6AC7">
        <w:rPr>
          <w:noProof/>
          <w:lang w:val="en-US" w:eastAsia="en-US"/>
        </w:rPr>
        <w:drawing>
          <wp:inline distT="0" distB="0" distL="0" distR="0">
            <wp:extent cx="5943600" cy="3691964"/>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691964"/>
                    </a:xfrm>
                    <a:prstGeom prst="rect">
                      <a:avLst/>
                    </a:prstGeom>
                    <a:noFill/>
                    <a:ln>
                      <a:noFill/>
                    </a:ln>
                  </pic:spPr>
                </pic:pic>
              </a:graphicData>
            </a:graphic>
          </wp:inline>
        </w:drawing>
      </w:r>
    </w:p>
    <w:p w:rsidR="00CF6AC7" w:rsidRDefault="00CF6AC7" w:rsidP="00F60DD2">
      <w:pPr>
        <w:rPr>
          <w:rFonts w:ascii="Calibri" w:eastAsia="Times New Roman" w:hAnsi="Calibri" w:cs="Calibri"/>
          <w:b/>
        </w:rPr>
      </w:pPr>
      <w:r w:rsidRPr="00CF6AC7">
        <w:rPr>
          <w:noProof/>
          <w:lang w:val="en-US" w:eastAsia="en-US"/>
        </w:rPr>
        <w:drawing>
          <wp:inline distT="0" distB="0" distL="0" distR="0">
            <wp:extent cx="5943600" cy="1632017"/>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1632017"/>
                    </a:xfrm>
                    <a:prstGeom prst="rect">
                      <a:avLst/>
                    </a:prstGeom>
                    <a:noFill/>
                    <a:ln>
                      <a:noFill/>
                    </a:ln>
                  </pic:spPr>
                </pic:pic>
              </a:graphicData>
            </a:graphic>
          </wp:inline>
        </w:drawing>
      </w:r>
    </w:p>
    <w:p w:rsidR="00C818C5" w:rsidRDefault="00CF6AC7" w:rsidP="00F60DD2">
      <w:pPr>
        <w:rPr>
          <w:rFonts w:ascii="Calibri" w:eastAsia="Times New Roman" w:hAnsi="Calibri" w:cs="Calibri"/>
          <w:b/>
        </w:rPr>
      </w:pPr>
      <w:r w:rsidRPr="00CF6AC7">
        <w:rPr>
          <w:noProof/>
          <w:lang w:val="en-US" w:eastAsia="en-US"/>
        </w:rPr>
        <w:drawing>
          <wp:inline distT="0" distB="0" distL="0" distR="0">
            <wp:extent cx="5943600" cy="11636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1163625"/>
                    </a:xfrm>
                    <a:prstGeom prst="rect">
                      <a:avLst/>
                    </a:prstGeom>
                    <a:noFill/>
                    <a:ln>
                      <a:noFill/>
                    </a:ln>
                  </pic:spPr>
                </pic:pic>
              </a:graphicData>
            </a:graphic>
          </wp:inline>
        </w:drawing>
      </w:r>
    </w:p>
    <w:p w:rsidR="00F60DD2" w:rsidRPr="00C818C5" w:rsidRDefault="00F60DD2" w:rsidP="00F60DD2">
      <w:pPr>
        <w:rPr>
          <w:rFonts w:ascii="Calibri" w:eastAsia="Times New Roman" w:hAnsi="Calibri" w:cs="Calibri"/>
          <w:b/>
        </w:rPr>
      </w:pPr>
      <w:r>
        <w:rPr>
          <w:b/>
        </w:rPr>
        <w:t>3.2 Water quality related tariffs</w:t>
      </w:r>
    </w:p>
    <w:p w:rsidR="00C818C5" w:rsidRDefault="00C818C5" w:rsidP="00F60DD2">
      <w:pPr>
        <w:rPr>
          <w:b/>
        </w:rPr>
      </w:pPr>
      <w:r>
        <w:rPr>
          <w:b/>
          <w:noProof/>
          <w:lang w:val="en-US" w:eastAsia="en-US"/>
        </w:rPr>
        <w:drawing>
          <wp:inline distT="0" distB="0" distL="0" distR="0" wp14:anchorId="16CA64F6">
            <wp:extent cx="5944235"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4235" cy="457200"/>
                    </a:xfrm>
                    <a:prstGeom prst="rect">
                      <a:avLst/>
                    </a:prstGeom>
                    <a:noFill/>
                  </pic:spPr>
                </pic:pic>
              </a:graphicData>
            </a:graphic>
          </wp:inline>
        </w:drawing>
      </w:r>
    </w:p>
    <w:p w:rsidR="00F60DD2" w:rsidRDefault="00F1263C" w:rsidP="00F60DD2">
      <w:pPr>
        <w:rPr>
          <w:b/>
        </w:rPr>
      </w:pPr>
      <w:r>
        <w:rPr>
          <w:b/>
          <w:noProof/>
          <w:lang w:val="en-US" w:eastAsia="en-US"/>
        </w:rPr>
        <w:drawing>
          <wp:inline distT="0" distB="0" distL="0" distR="0" wp14:anchorId="367F779B">
            <wp:extent cx="5944235" cy="3359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4235" cy="3359150"/>
                    </a:xfrm>
                    <a:prstGeom prst="rect">
                      <a:avLst/>
                    </a:prstGeom>
                    <a:noFill/>
                  </pic:spPr>
                </pic:pic>
              </a:graphicData>
            </a:graphic>
          </wp:inline>
        </w:drawing>
      </w:r>
    </w:p>
    <w:p w:rsidR="007D3921" w:rsidRDefault="007D3921" w:rsidP="007D3921">
      <w:pPr>
        <w:pStyle w:val="ListParagraph"/>
        <w:numPr>
          <w:ilvl w:val="1"/>
          <w:numId w:val="21"/>
        </w:numPr>
        <w:rPr>
          <w:b/>
        </w:rPr>
      </w:pPr>
      <w:r w:rsidRPr="007D3921">
        <w:rPr>
          <w:b/>
        </w:rPr>
        <w:t xml:space="preserve">Tariffs </w:t>
      </w:r>
      <w:r>
        <w:rPr>
          <w:b/>
        </w:rPr>
        <w:t>for</w:t>
      </w:r>
      <w:r w:rsidRPr="007D3921">
        <w:rPr>
          <w:b/>
        </w:rPr>
        <w:t xml:space="preserve"> other services rendered</w:t>
      </w:r>
    </w:p>
    <w:p w:rsidR="007D3921" w:rsidRDefault="007D3921" w:rsidP="007D3921">
      <w:pPr>
        <w:ind w:left="180"/>
        <w:rPr>
          <w:b/>
        </w:rPr>
      </w:pPr>
      <w:r w:rsidRPr="007D3921">
        <w:rPr>
          <w:noProof/>
          <w:lang w:val="en-US" w:eastAsia="en-US"/>
        </w:rPr>
        <w:drawing>
          <wp:inline distT="0" distB="0" distL="0" distR="0">
            <wp:extent cx="5943600" cy="1154633"/>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1154633"/>
                    </a:xfrm>
                    <a:prstGeom prst="rect">
                      <a:avLst/>
                    </a:prstGeom>
                    <a:noFill/>
                    <a:ln>
                      <a:noFill/>
                    </a:ln>
                  </pic:spPr>
                </pic:pic>
              </a:graphicData>
            </a:graphic>
          </wp:inline>
        </w:drawing>
      </w:r>
    </w:p>
    <w:p w:rsidR="007D3921" w:rsidRPr="007D3921" w:rsidRDefault="007D3921" w:rsidP="007D3921">
      <w:pPr>
        <w:ind w:left="180"/>
        <w:rPr>
          <w:b/>
        </w:rPr>
      </w:pPr>
      <w:r w:rsidRPr="007D3921">
        <w:rPr>
          <w:noProof/>
          <w:lang w:val="en-US" w:eastAsia="en-US"/>
        </w:rPr>
        <w:drawing>
          <wp:inline distT="0" distB="0" distL="0" distR="0">
            <wp:extent cx="5943600" cy="243883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2438830"/>
                    </a:xfrm>
                    <a:prstGeom prst="rect">
                      <a:avLst/>
                    </a:prstGeom>
                    <a:noFill/>
                    <a:ln>
                      <a:noFill/>
                    </a:ln>
                  </pic:spPr>
                </pic:pic>
              </a:graphicData>
            </a:graphic>
          </wp:inline>
        </w:drawing>
      </w:r>
    </w:p>
    <w:p w:rsidR="007D3921" w:rsidRPr="007D3921" w:rsidRDefault="007D3921" w:rsidP="007D3921">
      <w:pPr>
        <w:ind w:left="180"/>
        <w:rPr>
          <w:b/>
        </w:rPr>
      </w:pPr>
      <w:r w:rsidRPr="007D3921">
        <w:rPr>
          <w:noProof/>
          <w:lang w:val="en-US" w:eastAsia="en-US"/>
        </w:rPr>
        <w:drawing>
          <wp:inline distT="0" distB="0" distL="0" distR="0">
            <wp:extent cx="5943600" cy="718733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7187334"/>
                    </a:xfrm>
                    <a:prstGeom prst="rect">
                      <a:avLst/>
                    </a:prstGeom>
                    <a:noFill/>
                    <a:ln>
                      <a:noFill/>
                    </a:ln>
                  </pic:spPr>
                </pic:pic>
              </a:graphicData>
            </a:graphic>
          </wp:inline>
        </w:drawing>
      </w:r>
    </w:p>
    <w:p w:rsidR="00F60DD2" w:rsidRDefault="00F60DD2" w:rsidP="00F60DD2">
      <w:pPr>
        <w:rPr>
          <w:rFonts w:ascii="Calibri" w:eastAsia="Times New Roman" w:hAnsi="Calibri" w:cs="Calibri"/>
        </w:rPr>
      </w:pPr>
    </w:p>
    <w:p w:rsidR="00F60DD2" w:rsidRDefault="00F60DD2" w:rsidP="00F60DD2">
      <w:pPr>
        <w:rPr>
          <w:rFonts w:ascii="Calibri" w:eastAsia="Times New Roman" w:hAnsi="Calibri" w:cs="Calibri"/>
        </w:rPr>
      </w:pPr>
    </w:p>
    <w:p w:rsidR="007D3921" w:rsidRDefault="007D3921" w:rsidP="00F60DD2">
      <w:pPr>
        <w:rPr>
          <w:rFonts w:ascii="Calibri" w:eastAsia="Times New Roman" w:hAnsi="Calibri" w:cs="Calibri"/>
        </w:rPr>
      </w:pPr>
      <w:r w:rsidRPr="007D3921">
        <w:rPr>
          <w:noProof/>
          <w:lang w:val="en-US" w:eastAsia="en-US"/>
        </w:rPr>
        <w:drawing>
          <wp:inline distT="0" distB="0" distL="0" distR="0">
            <wp:extent cx="5943600" cy="185476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1854769"/>
                    </a:xfrm>
                    <a:prstGeom prst="rect">
                      <a:avLst/>
                    </a:prstGeom>
                    <a:noFill/>
                    <a:ln>
                      <a:noFill/>
                    </a:ln>
                  </pic:spPr>
                </pic:pic>
              </a:graphicData>
            </a:graphic>
          </wp:inline>
        </w:drawing>
      </w:r>
    </w:p>
    <w:p w:rsidR="007D3921" w:rsidRDefault="007D3921" w:rsidP="00F60DD2">
      <w:pPr>
        <w:rPr>
          <w:rFonts w:ascii="Calibri" w:eastAsia="Times New Roman" w:hAnsi="Calibri" w:cs="Calibri"/>
        </w:rPr>
      </w:pPr>
    </w:p>
    <w:p w:rsidR="007D3921" w:rsidRDefault="007D3921" w:rsidP="00F60DD2">
      <w:pPr>
        <w:rPr>
          <w:rFonts w:ascii="Calibri" w:eastAsia="Times New Roman" w:hAnsi="Calibri" w:cs="Calibri"/>
        </w:rPr>
      </w:pPr>
    </w:p>
    <w:p w:rsidR="00F60DD2" w:rsidRDefault="00F60DD2" w:rsidP="00F60DD2">
      <w:pPr>
        <w:rPr>
          <w:rFonts w:ascii="Calibri" w:eastAsia="Times New Roman" w:hAnsi="Calibri" w:cs="Calibri"/>
        </w:rPr>
      </w:pPr>
    </w:p>
    <w:p w:rsidR="004256DC" w:rsidRDefault="004256DC" w:rsidP="00C54ED8">
      <w:pPr>
        <w:spacing w:after="0" w:line="360" w:lineRule="auto"/>
        <w:jc w:val="both"/>
        <w:rPr>
          <w:rFonts w:ascii="Calibri" w:eastAsia="Times New Roman" w:hAnsi="Calibri" w:cs="Calibri"/>
        </w:rPr>
      </w:pPr>
    </w:p>
    <w:p w:rsidR="004256DC" w:rsidRDefault="004256DC" w:rsidP="00C54ED8">
      <w:pPr>
        <w:spacing w:after="0" w:line="360" w:lineRule="auto"/>
        <w:jc w:val="both"/>
        <w:rPr>
          <w:rFonts w:ascii="Calibri" w:eastAsia="Times New Roman" w:hAnsi="Calibri" w:cs="Calibri"/>
        </w:rPr>
      </w:pPr>
    </w:p>
    <w:p w:rsidR="00C54ED8" w:rsidRPr="00ED2E70" w:rsidRDefault="00C54ED8" w:rsidP="00C54ED8">
      <w:pPr>
        <w:rPr>
          <w:rFonts w:ascii="Calibri" w:eastAsia="Times New Roman" w:hAnsi="Calibri" w:cs="Calibri"/>
          <w:b/>
        </w:rPr>
      </w:pPr>
    </w:p>
    <w:p w:rsidR="00C54ED8" w:rsidRPr="00ED2E70" w:rsidRDefault="00C54ED8" w:rsidP="00C54ED8">
      <w:pPr>
        <w:rPr>
          <w:rFonts w:ascii="Calibri" w:eastAsia="Times New Roman" w:hAnsi="Calibri" w:cs="Calibri"/>
          <w:b/>
        </w:rPr>
      </w:pPr>
    </w:p>
    <w:p w:rsidR="00C54ED8" w:rsidRPr="00ED2E70" w:rsidRDefault="00C54ED8" w:rsidP="00C54ED8">
      <w:pPr>
        <w:rPr>
          <w:rFonts w:ascii="Calibri" w:eastAsia="Times New Roman" w:hAnsi="Calibri" w:cs="Calibri"/>
          <w:b/>
        </w:rPr>
      </w:pPr>
    </w:p>
    <w:p w:rsidR="00C54ED8" w:rsidRPr="00ED2E70" w:rsidRDefault="00C54ED8" w:rsidP="00C54ED8">
      <w:pPr>
        <w:rPr>
          <w:rFonts w:ascii="Calibri" w:eastAsia="Times New Roman" w:hAnsi="Calibri" w:cs="Calibri"/>
          <w:b/>
        </w:rPr>
      </w:pPr>
    </w:p>
    <w:p w:rsidR="00C54ED8" w:rsidRPr="00371DCA" w:rsidRDefault="00C54ED8" w:rsidP="00C54ED8">
      <w:pPr>
        <w:rPr>
          <w:rFonts w:ascii="Calibri" w:eastAsia="Times New Roman" w:hAnsi="Calibri" w:cs="Calibri"/>
          <w:b/>
        </w:rPr>
      </w:pPr>
    </w:p>
    <w:sectPr w:rsidR="00C54ED8" w:rsidRPr="00371DCA" w:rsidSect="00EE7C40">
      <w:footerReference w:type="default" r:id="rId52"/>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F1" w:rsidRDefault="00C920F1" w:rsidP="00AC0578">
      <w:pPr>
        <w:spacing w:after="0" w:line="240" w:lineRule="auto"/>
      </w:pPr>
      <w:r>
        <w:separator/>
      </w:r>
    </w:p>
  </w:endnote>
  <w:endnote w:type="continuationSeparator" w:id="0">
    <w:p w:rsidR="00C920F1" w:rsidRDefault="00C920F1" w:rsidP="00AC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27" w:rsidRDefault="00325727" w:rsidP="00154E79">
    <w:pPr>
      <w:pStyle w:val="Footer"/>
      <w:pBdr>
        <w:top w:val="single" w:sz="4" w:space="1" w:color="auto"/>
      </w:pBdr>
      <w:tabs>
        <w:tab w:val="clear" w:pos="4680"/>
        <w:tab w:val="clear" w:pos="9360"/>
        <w:tab w:val="right" w:pos="9356"/>
        <w:tab w:val="right" w:pos="13608"/>
      </w:tabs>
    </w:pPr>
    <w:r>
      <w:t>May</w:t>
    </w:r>
    <w:sdt>
      <w:sdtPr>
        <w:id w:val="182830327"/>
        <w:docPartObj>
          <w:docPartGallery w:val="Page Numbers (Bottom of Page)"/>
          <w:docPartUnique/>
        </w:docPartObj>
      </w:sdtPr>
      <w:sdtEndPr/>
      <w:sdtContent>
        <w:r>
          <w:t xml:space="preserve"> 2020</w:t>
        </w:r>
        <w:r>
          <w:tab/>
        </w:r>
      </w:sdtContent>
    </w:sdt>
    <w:r>
      <w:fldChar w:fldCharType="begin"/>
    </w:r>
    <w:r>
      <w:instrText xml:space="preserve"> PAGE   \* MERGEFORMAT </w:instrText>
    </w:r>
    <w:r>
      <w:fldChar w:fldCharType="separate"/>
    </w:r>
    <w:r w:rsidR="00275838">
      <w:rPr>
        <w:noProof/>
      </w:rPr>
      <w:t>1</w:t>
    </w:r>
    <w:r>
      <w:fldChar w:fldCharType="end"/>
    </w:r>
  </w:p>
  <w:p w:rsidR="00325727" w:rsidRDefault="00325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27" w:rsidRDefault="00325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27" w:rsidRDefault="00325727" w:rsidP="00154E79">
    <w:pPr>
      <w:pStyle w:val="Footer"/>
      <w:pBdr>
        <w:top w:val="single" w:sz="4" w:space="1" w:color="auto"/>
      </w:pBdr>
      <w:tabs>
        <w:tab w:val="clear" w:pos="4680"/>
        <w:tab w:val="clear" w:pos="9360"/>
        <w:tab w:val="right" w:pos="9356"/>
        <w:tab w:val="right" w:pos="13608"/>
      </w:tabs>
    </w:pPr>
    <w:r>
      <w:t>March</w:t>
    </w:r>
    <w:sdt>
      <w:sdtPr>
        <w:id w:val="1908408257"/>
        <w:docPartObj>
          <w:docPartGallery w:val="Page Numbers (Bottom of Page)"/>
          <w:docPartUnique/>
        </w:docPartObj>
      </w:sdtPr>
      <w:sdtEndPr/>
      <w:sdtContent>
        <w:r>
          <w:t xml:space="preserve"> 2013</w:t>
        </w:r>
        <w:r>
          <w:tab/>
        </w:r>
      </w:sdtContent>
    </w:sdt>
    <w:r>
      <w:fldChar w:fldCharType="begin"/>
    </w:r>
    <w:r>
      <w:instrText xml:space="preserve"> PAGE   \* MERGEFORMAT </w:instrText>
    </w:r>
    <w:r>
      <w:fldChar w:fldCharType="separate"/>
    </w:r>
    <w:r>
      <w:rPr>
        <w:noProof/>
      </w:rPr>
      <w:t>i</w:t>
    </w:r>
    <w:r>
      <w:fldChar w:fldCharType="end"/>
    </w:r>
  </w:p>
  <w:p w:rsidR="00325727" w:rsidRDefault="003257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27" w:rsidRDefault="00325727" w:rsidP="006921F2">
    <w:pPr>
      <w:pStyle w:val="Footer"/>
      <w:pBdr>
        <w:top w:val="single" w:sz="4" w:space="1" w:color="auto"/>
      </w:pBdr>
      <w:tabs>
        <w:tab w:val="clear" w:pos="4680"/>
        <w:tab w:val="clear" w:pos="9360"/>
        <w:tab w:val="right" w:pos="9356"/>
        <w:tab w:val="right" w:pos="13608"/>
      </w:tabs>
    </w:pPr>
    <w:r>
      <w:t>May 2020</w:t>
    </w:r>
  </w:p>
  <w:p w:rsidR="00325727" w:rsidRDefault="00325727" w:rsidP="006921F2">
    <w:pPr>
      <w:pStyle w:val="Footer"/>
      <w:pBdr>
        <w:top w:val="single" w:sz="4" w:space="1" w:color="auto"/>
      </w:pBdr>
      <w:tabs>
        <w:tab w:val="clear" w:pos="4680"/>
        <w:tab w:val="clear" w:pos="9360"/>
        <w:tab w:val="right" w:pos="9356"/>
        <w:tab w:val="right" w:pos="13608"/>
      </w:tabs>
    </w:pPr>
  </w:p>
  <w:p w:rsidR="00325727" w:rsidRDefault="003257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F1" w:rsidRDefault="00C920F1" w:rsidP="00AC0578">
      <w:pPr>
        <w:spacing w:after="0" w:line="240" w:lineRule="auto"/>
      </w:pPr>
      <w:r>
        <w:separator/>
      </w:r>
    </w:p>
  </w:footnote>
  <w:footnote w:type="continuationSeparator" w:id="0">
    <w:p w:rsidR="00C920F1" w:rsidRDefault="00C920F1" w:rsidP="00AC0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27" w:rsidRDefault="00325727">
    <w:pPr>
      <w:pStyle w:val="Header"/>
    </w:pPr>
    <w:r>
      <w:t>CHRIS HANI DISTRICT MUNICIPALITY FINAL BUDGET 2020-2023 MTREF</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27" w:rsidRDefault="00325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27" w:rsidRDefault="00325727" w:rsidP="00281E23">
    <w:pPr>
      <w:pStyle w:val="Header"/>
    </w:pPr>
    <w:r>
      <w:t xml:space="preserve">Chris Hani District Municipality </w:t>
    </w:r>
    <w:r>
      <w:ptab w:relativeTo="margin" w:alignment="center" w:leader="none"/>
    </w:r>
    <w:r>
      <w:ptab w:relativeTo="margin" w:alignment="right" w:leader="none"/>
    </w:r>
    <w:r>
      <w:t>2020/21 Final Annual Budget and MTREF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27" w:rsidRDefault="00325727" w:rsidP="00FB075E">
    <w:pPr>
      <w:pStyle w:val="Header"/>
    </w:pPr>
    <w:r>
      <w:t xml:space="preserve">Chris Hani District Municipality </w:t>
    </w:r>
    <w:r>
      <w:ptab w:relativeTo="margin" w:alignment="center" w:leader="none"/>
    </w:r>
    <w:r>
      <w:ptab w:relativeTo="margin" w:alignment="right" w:leader="none"/>
    </w:r>
    <w:r>
      <w:t>2014/15 Annual Budget and MTREF</w:t>
    </w:r>
  </w:p>
  <w:p w:rsidR="00325727" w:rsidRDefault="00325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8BD5"/>
      </v:shape>
    </w:pict>
  </w:numPicBullet>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2" w15:restartNumberingAfterBreak="0">
    <w:nsid w:val="0000000D"/>
    <w:multiLevelType w:val="multilevel"/>
    <w:tmpl w:val="0000000D"/>
    <w:name w:val="WW8Num1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2"/>
    <w:multiLevelType w:val="singleLevel"/>
    <w:tmpl w:val="00000012"/>
    <w:name w:val="WW8Num19"/>
    <w:lvl w:ilvl="0">
      <w:start w:val="1"/>
      <w:numFmt w:val="bullet"/>
      <w:lvlText w:val=""/>
      <w:lvlJc w:val="left"/>
      <w:pPr>
        <w:tabs>
          <w:tab w:val="num" w:pos="360"/>
        </w:tabs>
        <w:ind w:left="360" w:hanging="360"/>
      </w:pPr>
      <w:rPr>
        <w:rFonts w:ascii="Wingdings" w:hAnsi="Wingdings" w:cs="Wingdings"/>
      </w:rPr>
    </w:lvl>
  </w:abstractNum>
  <w:abstractNum w:abstractNumId="4" w15:restartNumberingAfterBreak="0">
    <w:nsid w:val="00000019"/>
    <w:multiLevelType w:val="singleLevel"/>
    <w:tmpl w:val="00000019"/>
    <w:name w:val="WW8Num27"/>
    <w:lvl w:ilvl="0">
      <w:start w:val="1"/>
      <w:numFmt w:val="bullet"/>
      <w:lvlText w:val=""/>
      <w:lvlJc w:val="left"/>
      <w:pPr>
        <w:tabs>
          <w:tab w:val="num" w:pos="360"/>
        </w:tabs>
        <w:ind w:left="360" w:hanging="360"/>
      </w:pPr>
      <w:rPr>
        <w:rFonts w:ascii="Wingdings" w:hAnsi="Wingdings" w:cs="Wingdings"/>
      </w:rPr>
    </w:lvl>
  </w:abstractNum>
  <w:abstractNum w:abstractNumId="5" w15:restartNumberingAfterBreak="0">
    <w:nsid w:val="00B419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9774E0"/>
    <w:multiLevelType w:val="hybridMultilevel"/>
    <w:tmpl w:val="F5C6520C"/>
    <w:lvl w:ilvl="0" w:tplc="A768D6F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D1CB5"/>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C45C23"/>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D13D05"/>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425FD6"/>
    <w:multiLevelType w:val="hybridMultilevel"/>
    <w:tmpl w:val="13B8FD0C"/>
    <w:lvl w:ilvl="0" w:tplc="1C09000F">
      <w:start w:val="1"/>
      <w:numFmt w:val="decimal"/>
      <w:lvlText w:val="%1."/>
      <w:lvlJc w:val="left"/>
      <w:pPr>
        <w:ind w:left="720" w:hanging="360"/>
      </w:pPr>
    </w:lvl>
    <w:lvl w:ilvl="1" w:tplc="D06C6902">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B1306E8"/>
    <w:multiLevelType w:val="hybridMultilevel"/>
    <w:tmpl w:val="1FDA36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0E8A08BD"/>
    <w:multiLevelType w:val="hybridMultilevel"/>
    <w:tmpl w:val="DF289C30"/>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1F7D06"/>
    <w:multiLevelType w:val="multilevel"/>
    <w:tmpl w:val="32E4B4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6082BD0"/>
    <w:multiLevelType w:val="hybridMultilevel"/>
    <w:tmpl w:val="028E4EF2"/>
    <w:lvl w:ilvl="0" w:tplc="A768D6FC">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7EB2064"/>
    <w:multiLevelType w:val="multilevel"/>
    <w:tmpl w:val="5B1EFC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C0A37E0"/>
    <w:multiLevelType w:val="hybridMultilevel"/>
    <w:tmpl w:val="97A07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B82B1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AE0778"/>
    <w:multiLevelType w:val="multilevel"/>
    <w:tmpl w:val="183E6EB2"/>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4475C4"/>
    <w:multiLevelType w:val="hybridMultilevel"/>
    <w:tmpl w:val="5810CB8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C537A8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9D69A4"/>
    <w:multiLevelType w:val="multilevel"/>
    <w:tmpl w:val="1C14716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30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591" w:hanging="1440"/>
      </w:pPr>
      <w:rPr>
        <w:rFonts w:hint="default"/>
      </w:rPr>
    </w:lvl>
    <w:lvl w:ilvl="8">
      <w:start w:val="1"/>
      <w:numFmt w:val="decimal"/>
      <w:isLgl/>
      <w:lvlText w:val="%1.%2.%3.%4.%5.%6.%7.%8.%9"/>
      <w:lvlJc w:val="left"/>
      <w:pPr>
        <w:ind w:left="3064" w:hanging="1800"/>
      </w:pPr>
      <w:rPr>
        <w:rFonts w:hint="default"/>
      </w:rPr>
    </w:lvl>
  </w:abstractNum>
  <w:abstractNum w:abstractNumId="22" w15:restartNumberingAfterBreak="0">
    <w:nsid w:val="3E6B5270"/>
    <w:multiLevelType w:val="hybridMultilevel"/>
    <w:tmpl w:val="C40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1776C"/>
    <w:multiLevelType w:val="hybridMultilevel"/>
    <w:tmpl w:val="A418D488"/>
    <w:lvl w:ilvl="0" w:tplc="1C090007">
      <w:start w:val="1"/>
      <w:numFmt w:val="bullet"/>
      <w:lvlText w:val=""/>
      <w:lvlPicBulletId w:val="0"/>
      <w:lvlJc w:val="left"/>
      <w:pPr>
        <w:ind w:left="1440" w:hanging="360"/>
      </w:pPr>
      <w:rPr>
        <w:rFonts w:ascii="Symbol" w:hAnsi="Symbol" w:hint="default"/>
      </w:rPr>
    </w:lvl>
    <w:lvl w:ilvl="1" w:tplc="1C090007">
      <w:start w:val="1"/>
      <w:numFmt w:val="bullet"/>
      <w:lvlText w:val=""/>
      <w:lvlPicBulletId w:val="0"/>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43DD4119"/>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E659F6"/>
    <w:multiLevelType w:val="hybridMultilevel"/>
    <w:tmpl w:val="EE34EB06"/>
    <w:lvl w:ilvl="0" w:tplc="08090001">
      <w:start w:val="1"/>
      <w:numFmt w:val="bullet"/>
      <w:lvlText w:val=""/>
      <w:lvlJc w:val="left"/>
      <w:pPr>
        <w:tabs>
          <w:tab w:val="num" w:pos="720"/>
        </w:tabs>
        <w:ind w:left="720" w:hanging="360"/>
      </w:pPr>
      <w:rPr>
        <w:rFonts w:ascii="Symbol" w:hAnsi="Symbol" w:hint="default"/>
      </w:rPr>
    </w:lvl>
    <w:lvl w:ilvl="1" w:tplc="90E64662">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B0651"/>
    <w:multiLevelType w:val="hybridMultilevel"/>
    <w:tmpl w:val="DCB6C82A"/>
    <w:lvl w:ilvl="0" w:tplc="A0A42878">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6302C64"/>
    <w:multiLevelType w:val="hybridMultilevel"/>
    <w:tmpl w:val="8638A2BC"/>
    <w:lvl w:ilvl="0" w:tplc="A768D6FC">
      <w:start w:val="1"/>
      <w:numFmt w:val="bullet"/>
      <w:lvlText w:val="•"/>
      <w:lvlJc w:val="left"/>
      <w:pPr>
        <w:tabs>
          <w:tab w:val="num" w:pos="720"/>
        </w:tabs>
        <w:ind w:left="720" w:hanging="360"/>
      </w:pPr>
      <w:rPr>
        <w:rFonts w:ascii="Times New Roman" w:hAnsi="Times New Roman" w:hint="default"/>
      </w:rPr>
    </w:lvl>
    <w:lvl w:ilvl="1" w:tplc="03D68976">
      <w:start w:val="2044"/>
      <w:numFmt w:val="bullet"/>
      <w:lvlText w:val="–"/>
      <w:lvlJc w:val="left"/>
      <w:pPr>
        <w:tabs>
          <w:tab w:val="num" w:pos="1440"/>
        </w:tabs>
        <w:ind w:left="1440" w:hanging="360"/>
      </w:pPr>
      <w:rPr>
        <w:rFonts w:ascii="Times New Roman" w:hAnsi="Times New Roman" w:hint="default"/>
      </w:rPr>
    </w:lvl>
    <w:lvl w:ilvl="2" w:tplc="F6885C00" w:tentative="1">
      <w:start w:val="1"/>
      <w:numFmt w:val="bullet"/>
      <w:lvlText w:val="•"/>
      <w:lvlJc w:val="left"/>
      <w:pPr>
        <w:tabs>
          <w:tab w:val="num" w:pos="2160"/>
        </w:tabs>
        <w:ind w:left="2160" w:hanging="360"/>
      </w:pPr>
      <w:rPr>
        <w:rFonts w:ascii="Times New Roman" w:hAnsi="Times New Roman" w:hint="default"/>
      </w:rPr>
    </w:lvl>
    <w:lvl w:ilvl="3" w:tplc="F0301610" w:tentative="1">
      <w:start w:val="1"/>
      <w:numFmt w:val="bullet"/>
      <w:lvlText w:val="•"/>
      <w:lvlJc w:val="left"/>
      <w:pPr>
        <w:tabs>
          <w:tab w:val="num" w:pos="2880"/>
        </w:tabs>
        <w:ind w:left="2880" w:hanging="360"/>
      </w:pPr>
      <w:rPr>
        <w:rFonts w:ascii="Times New Roman" w:hAnsi="Times New Roman" w:hint="default"/>
      </w:rPr>
    </w:lvl>
    <w:lvl w:ilvl="4" w:tplc="BBEE1AAC" w:tentative="1">
      <w:start w:val="1"/>
      <w:numFmt w:val="bullet"/>
      <w:lvlText w:val="•"/>
      <w:lvlJc w:val="left"/>
      <w:pPr>
        <w:tabs>
          <w:tab w:val="num" w:pos="3600"/>
        </w:tabs>
        <w:ind w:left="3600" w:hanging="360"/>
      </w:pPr>
      <w:rPr>
        <w:rFonts w:ascii="Times New Roman" w:hAnsi="Times New Roman" w:hint="default"/>
      </w:rPr>
    </w:lvl>
    <w:lvl w:ilvl="5" w:tplc="904E971E" w:tentative="1">
      <w:start w:val="1"/>
      <w:numFmt w:val="bullet"/>
      <w:lvlText w:val="•"/>
      <w:lvlJc w:val="left"/>
      <w:pPr>
        <w:tabs>
          <w:tab w:val="num" w:pos="4320"/>
        </w:tabs>
        <w:ind w:left="4320" w:hanging="360"/>
      </w:pPr>
      <w:rPr>
        <w:rFonts w:ascii="Times New Roman" w:hAnsi="Times New Roman" w:hint="default"/>
      </w:rPr>
    </w:lvl>
    <w:lvl w:ilvl="6" w:tplc="F3209A7E" w:tentative="1">
      <w:start w:val="1"/>
      <w:numFmt w:val="bullet"/>
      <w:lvlText w:val="•"/>
      <w:lvlJc w:val="left"/>
      <w:pPr>
        <w:tabs>
          <w:tab w:val="num" w:pos="5040"/>
        </w:tabs>
        <w:ind w:left="5040" w:hanging="360"/>
      </w:pPr>
      <w:rPr>
        <w:rFonts w:ascii="Times New Roman" w:hAnsi="Times New Roman" w:hint="default"/>
      </w:rPr>
    </w:lvl>
    <w:lvl w:ilvl="7" w:tplc="710C415E" w:tentative="1">
      <w:start w:val="1"/>
      <w:numFmt w:val="bullet"/>
      <w:lvlText w:val="•"/>
      <w:lvlJc w:val="left"/>
      <w:pPr>
        <w:tabs>
          <w:tab w:val="num" w:pos="5760"/>
        </w:tabs>
        <w:ind w:left="5760" w:hanging="360"/>
      </w:pPr>
      <w:rPr>
        <w:rFonts w:ascii="Times New Roman" w:hAnsi="Times New Roman" w:hint="default"/>
      </w:rPr>
    </w:lvl>
    <w:lvl w:ilvl="8" w:tplc="0F4E6A9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C1259BF"/>
    <w:multiLevelType w:val="hybridMultilevel"/>
    <w:tmpl w:val="5C8CE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2B2172"/>
    <w:multiLevelType w:val="multilevel"/>
    <w:tmpl w:val="9DE4D6A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BD4CAE"/>
    <w:multiLevelType w:val="hybridMultilevel"/>
    <w:tmpl w:val="CFF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E0E80"/>
    <w:multiLevelType w:val="hybridMultilevel"/>
    <w:tmpl w:val="A726CCDE"/>
    <w:lvl w:ilvl="0" w:tplc="04090001">
      <w:start w:val="1"/>
      <w:numFmt w:val="bullet"/>
      <w:lvlText w:val=""/>
      <w:lvlJc w:val="left"/>
      <w:pPr>
        <w:tabs>
          <w:tab w:val="num" w:pos="720"/>
        </w:tabs>
        <w:ind w:left="720" w:hanging="360"/>
      </w:pPr>
      <w:rPr>
        <w:rFonts w:ascii="Symbol" w:hAnsi="Symbol" w:hint="default"/>
      </w:rPr>
    </w:lvl>
    <w:lvl w:ilvl="1" w:tplc="FDA41562">
      <w:start w:val="2067"/>
      <w:numFmt w:val="bullet"/>
      <w:lvlText w:val=""/>
      <w:lvlJc w:val="left"/>
      <w:pPr>
        <w:tabs>
          <w:tab w:val="num" w:pos="1440"/>
        </w:tabs>
        <w:ind w:left="1440" w:hanging="360"/>
      </w:pPr>
      <w:rPr>
        <w:rFonts w:ascii="Wingdings" w:hAnsi="Wingdings" w:hint="default"/>
      </w:rPr>
    </w:lvl>
    <w:lvl w:ilvl="2" w:tplc="D3E0D06E" w:tentative="1">
      <w:start w:val="1"/>
      <w:numFmt w:val="bullet"/>
      <w:lvlText w:val=""/>
      <w:lvlJc w:val="left"/>
      <w:pPr>
        <w:tabs>
          <w:tab w:val="num" w:pos="2160"/>
        </w:tabs>
        <w:ind w:left="2160" w:hanging="360"/>
      </w:pPr>
      <w:rPr>
        <w:rFonts w:ascii="Wingdings" w:hAnsi="Wingdings" w:hint="default"/>
      </w:rPr>
    </w:lvl>
    <w:lvl w:ilvl="3" w:tplc="CA6C320C" w:tentative="1">
      <w:start w:val="1"/>
      <w:numFmt w:val="bullet"/>
      <w:lvlText w:val=""/>
      <w:lvlJc w:val="left"/>
      <w:pPr>
        <w:tabs>
          <w:tab w:val="num" w:pos="2880"/>
        </w:tabs>
        <w:ind w:left="2880" w:hanging="360"/>
      </w:pPr>
      <w:rPr>
        <w:rFonts w:ascii="Wingdings" w:hAnsi="Wingdings" w:hint="default"/>
      </w:rPr>
    </w:lvl>
    <w:lvl w:ilvl="4" w:tplc="87C06BAA" w:tentative="1">
      <w:start w:val="1"/>
      <w:numFmt w:val="bullet"/>
      <w:lvlText w:val=""/>
      <w:lvlJc w:val="left"/>
      <w:pPr>
        <w:tabs>
          <w:tab w:val="num" w:pos="3600"/>
        </w:tabs>
        <w:ind w:left="3600" w:hanging="360"/>
      </w:pPr>
      <w:rPr>
        <w:rFonts w:ascii="Wingdings" w:hAnsi="Wingdings" w:hint="default"/>
      </w:rPr>
    </w:lvl>
    <w:lvl w:ilvl="5" w:tplc="F5A0C578" w:tentative="1">
      <w:start w:val="1"/>
      <w:numFmt w:val="bullet"/>
      <w:lvlText w:val=""/>
      <w:lvlJc w:val="left"/>
      <w:pPr>
        <w:tabs>
          <w:tab w:val="num" w:pos="4320"/>
        </w:tabs>
        <w:ind w:left="4320" w:hanging="360"/>
      </w:pPr>
      <w:rPr>
        <w:rFonts w:ascii="Wingdings" w:hAnsi="Wingdings" w:hint="default"/>
      </w:rPr>
    </w:lvl>
    <w:lvl w:ilvl="6" w:tplc="3880FC02" w:tentative="1">
      <w:start w:val="1"/>
      <w:numFmt w:val="bullet"/>
      <w:lvlText w:val=""/>
      <w:lvlJc w:val="left"/>
      <w:pPr>
        <w:tabs>
          <w:tab w:val="num" w:pos="5040"/>
        </w:tabs>
        <w:ind w:left="5040" w:hanging="360"/>
      </w:pPr>
      <w:rPr>
        <w:rFonts w:ascii="Wingdings" w:hAnsi="Wingdings" w:hint="default"/>
      </w:rPr>
    </w:lvl>
    <w:lvl w:ilvl="7" w:tplc="8DA44C1A" w:tentative="1">
      <w:start w:val="1"/>
      <w:numFmt w:val="bullet"/>
      <w:lvlText w:val=""/>
      <w:lvlJc w:val="left"/>
      <w:pPr>
        <w:tabs>
          <w:tab w:val="num" w:pos="5760"/>
        </w:tabs>
        <w:ind w:left="5760" w:hanging="360"/>
      </w:pPr>
      <w:rPr>
        <w:rFonts w:ascii="Wingdings" w:hAnsi="Wingdings" w:hint="default"/>
      </w:rPr>
    </w:lvl>
    <w:lvl w:ilvl="8" w:tplc="0C5A4C4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F468F6"/>
    <w:multiLevelType w:val="multilevel"/>
    <w:tmpl w:val="CDE8F1E6"/>
    <w:lvl w:ilvl="0">
      <w:start w:val="1"/>
      <w:numFmt w:val="decimal"/>
      <w:lvlText w:val="%1."/>
      <w:lvlJc w:val="left"/>
      <w:pPr>
        <w:ind w:left="540" w:hanging="360"/>
      </w:pPr>
      <w:rPr>
        <w:b w:val="0"/>
      </w:rPr>
    </w:lvl>
    <w:lvl w:ilvl="1">
      <w:start w:val="3"/>
      <w:numFmt w:val="decimal"/>
      <w:isLgl/>
      <w:lvlText w:val="%1.%2"/>
      <w:lvlJc w:val="left"/>
      <w:pPr>
        <w:ind w:left="564" w:hanging="384"/>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3" w15:restartNumberingAfterBreak="0">
    <w:nsid w:val="61177EE9"/>
    <w:multiLevelType w:val="hybridMultilevel"/>
    <w:tmpl w:val="13B8FD0C"/>
    <w:lvl w:ilvl="0" w:tplc="1C09000F">
      <w:start w:val="1"/>
      <w:numFmt w:val="decimal"/>
      <w:lvlText w:val="%1."/>
      <w:lvlJc w:val="left"/>
      <w:pPr>
        <w:ind w:left="720" w:hanging="360"/>
      </w:pPr>
    </w:lvl>
    <w:lvl w:ilvl="1" w:tplc="D06C6902">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2454891"/>
    <w:multiLevelType w:val="hybridMultilevel"/>
    <w:tmpl w:val="13E0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F4E26"/>
    <w:multiLevelType w:val="hybridMultilevel"/>
    <w:tmpl w:val="AA202F0E"/>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64910"/>
    <w:multiLevelType w:val="hybridMultilevel"/>
    <w:tmpl w:val="4478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63C69"/>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2B0A8D"/>
    <w:multiLevelType w:val="hybridMultilevel"/>
    <w:tmpl w:val="42900E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1C656A"/>
    <w:multiLevelType w:val="hybridMultilevel"/>
    <w:tmpl w:val="DFAA2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F8071C"/>
    <w:multiLevelType w:val="multilevel"/>
    <w:tmpl w:val="32E4B4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5994FFC"/>
    <w:multiLevelType w:val="hybridMultilevel"/>
    <w:tmpl w:val="104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97A3A"/>
    <w:multiLevelType w:val="hybridMultilevel"/>
    <w:tmpl w:val="6016864A"/>
    <w:lvl w:ilvl="0" w:tplc="FD3C875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7B820BA8"/>
    <w:multiLevelType w:val="hybridMultilevel"/>
    <w:tmpl w:val="C30880A6"/>
    <w:lvl w:ilvl="0" w:tplc="BC22F36A">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BCB66B7"/>
    <w:multiLevelType w:val="hybridMultilevel"/>
    <w:tmpl w:val="797063D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C4C3BCD"/>
    <w:multiLevelType w:val="hybridMultilevel"/>
    <w:tmpl w:val="2C0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C3404"/>
    <w:multiLevelType w:val="hybridMultilevel"/>
    <w:tmpl w:val="70E6A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D6E36D2"/>
    <w:multiLevelType w:val="hybridMultilevel"/>
    <w:tmpl w:val="B512FBAC"/>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4177B"/>
    <w:multiLevelType w:val="hybridMultilevel"/>
    <w:tmpl w:val="A948A27C"/>
    <w:lvl w:ilvl="0" w:tplc="0824C48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9" w15:restartNumberingAfterBreak="0">
    <w:nsid w:val="7F39085D"/>
    <w:multiLevelType w:val="multilevel"/>
    <w:tmpl w:val="07882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5"/>
  </w:num>
  <w:num w:numId="2">
    <w:abstractNumId w:val="0"/>
  </w:num>
  <w:num w:numId="3">
    <w:abstractNumId w:val="26"/>
  </w:num>
  <w:num w:numId="4">
    <w:abstractNumId w:val="27"/>
  </w:num>
  <w:num w:numId="5">
    <w:abstractNumId w:val="6"/>
  </w:num>
  <w:num w:numId="6">
    <w:abstractNumId w:val="25"/>
  </w:num>
  <w:num w:numId="7">
    <w:abstractNumId w:val="22"/>
  </w:num>
  <w:num w:numId="8">
    <w:abstractNumId w:val="41"/>
  </w:num>
  <w:num w:numId="9">
    <w:abstractNumId w:val="48"/>
  </w:num>
  <w:num w:numId="10">
    <w:abstractNumId w:val="42"/>
  </w:num>
  <w:num w:numId="11">
    <w:abstractNumId w:val="49"/>
  </w:num>
  <w:num w:numId="12">
    <w:abstractNumId w:val="5"/>
  </w:num>
  <w:num w:numId="13">
    <w:abstractNumId w:val="11"/>
  </w:num>
  <w:num w:numId="14">
    <w:abstractNumId w:val="34"/>
  </w:num>
  <w:num w:numId="15">
    <w:abstractNumId w:val="36"/>
  </w:num>
  <w:num w:numId="16">
    <w:abstractNumId w:val="38"/>
  </w:num>
  <w:num w:numId="17">
    <w:abstractNumId w:val="39"/>
  </w:num>
  <w:num w:numId="18">
    <w:abstractNumId w:val="18"/>
  </w:num>
  <w:num w:numId="19">
    <w:abstractNumId w:val="9"/>
  </w:num>
  <w:num w:numId="20">
    <w:abstractNumId w:val="8"/>
  </w:num>
  <w:num w:numId="21">
    <w:abstractNumId w:val="32"/>
  </w:num>
  <w:num w:numId="22">
    <w:abstractNumId w:val="24"/>
  </w:num>
  <w:num w:numId="23">
    <w:abstractNumId w:val="7"/>
  </w:num>
  <w:num w:numId="24">
    <w:abstractNumId w:val="17"/>
  </w:num>
  <w:num w:numId="25">
    <w:abstractNumId w:val="20"/>
  </w:num>
  <w:num w:numId="26">
    <w:abstractNumId w:val="37"/>
  </w:num>
  <w:num w:numId="27">
    <w:abstractNumId w:val="16"/>
  </w:num>
  <w:num w:numId="28">
    <w:abstractNumId w:val="35"/>
  </w:num>
  <w:num w:numId="29">
    <w:abstractNumId w:val="47"/>
  </w:num>
  <w:num w:numId="30">
    <w:abstractNumId w:val="45"/>
  </w:num>
  <w:num w:numId="31">
    <w:abstractNumId w:val="28"/>
  </w:num>
  <w:num w:numId="32">
    <w:abstractNumId w:val="13"/>
  </w:num>
  <w:num w:numId="33">
    <w:abstractNumId w:val="40"/>
  </w:num>
  <w:num w:numId="34">
    <w:abstractNumId w:val="30"/>
  </w:num>
  <w:num w:numId="35">
    <w:abstractNumId w:val="49"/>
  </w:num>
  <w:num w:numId="36">
    <w:abstractNumId w:val="12"/>
  </w:num>
  <w:num w:numId="37">
    <w:abstractNumId w:val="19"/>
  </w:num>
  <w:num w:numId="38">
    <w:abstractNumId w:val="44"/>
  </w:num>
  <w:num w:numId="39">
    <w:abstractNumId w:val="31"/>
  </w:num>
  <w:num w:numId="40">
    <w:abstractNumId w:val="33"/>
  </w:num>
  <w:num w:numId="41">
    <w:abstractNumId w:val="23"/>
  </w:num>
  <w:num w:numId="42">
    <w:abstractNumId w:val="43"/>
  </w:num>
  <w:num w:numId="43">
    <w:abstractNumId w:val="14"/>
  </w:num>
  <w:num w:numId="44">
    <w:abstractNumId w:val="10"/>
  </w:num>
  <w:num w:numId="45">
    <w:abstractNumId w:val="46"/>
  </w:num>
  <w:num w:numId="46">
    <w:abstractNumId w:val="21"/>
  </w:num>
  <w:num w:numId="4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8D"/>
    <w:rsid w:val="00000348"/>
    <w:rsid w:val="000016C9"/>
    <w:rsid w:val="00001868"/>
    <w:rsid w:val="000018CF"/>
    <w:rsid w:val="00003619"/>
    <w:rsid w:val="0000769A"/>
    <w:rsid w:val="000078AD"/>
    <w:rsid w:val="00010221"/>
    <w:rsid w:val="00013B66"/>
    <w:rsid w:val="0001437F"/>
    <w:rsid w:val="00017C7E"/>
    <w:rsid w:val="00022F7A"/>
    <w:rsid w:val="000232E5"/>
    <w:rsid w:val="00026135"/>
    <w:rsid w:val="00027477"/>
    <w:rsid w:val="000278B0"/>
    <w:rsid w:val="000306EE"/>
    <w:rsid w:val="00030C77"/>
    <w:rsid w:val="0003199A"/>
    <w:rsid w:val="000330F3"/>
    <w:rsid w:val="00033C91"/>
    <w:rsid w:val="00035335"/>
    <w:rsid w:val="00036626"/>
    <w:rsid w:val="000372A4"/>
    <w:rsid w:val="00037A2D"/>
    <w:rsid w:val="00041063"/>
    <w:rsid w:val="000428D0"/>
    <w:rsid w:val="00043BB7"/>
    <w:rsid w:val="00046D97"/>
    <w:rsid w:val="00046E64"/>
    <w:rsid w:val="000505DC"/>
    <w:rsid w:val="0005123F"/>
    <w:rsid w:val="00051307"/>
    <w:rsid w:val="00051A7B"/>
    <w:rsid w:val="000537D5"/>
    <w:rsid w:val="000563FE"/>
    <w:rsid w:val="00057C46"/>
    <w:rsid w:val="00057CE1"/>
    <w:rsid w:val="000663B8"/>
    <w:rsid w:val="00067599"/>
    <w:rsid w:val="00067CE1"/>
    <w:rsid w:val="00070461"/>
    <w:rsid w:val="00073816"/>
    <w:rsid w:val="00076AF5"/>
    <w:rsid w:val="00080079"/>
    <w:rsid w:val="0008273A"/>
    <w:rsid w:val="000832EB"/>
    <w:rsid w:val="000834F1"/>
    <w:rsid w:val="0008488F"/>
    <w:rsid w:val="00084AEE"/>
    <w:rsid w:val="00085A94"/>
    <w:rsid w:val="00086423"/>
    <w:rsid w:val="00086444"/>
    <w:rsid w:val="0008668F"/>
    <w:rsid w:val="00087577"/>
    <w:rsid w:val="000915D6"/>
    <w:rsid w:val="00091E4A"/>
    <w:rsid w:val="0009242B"/>
    <w:rsid w:val="00095B1C"/>
    <w:rsid w:val="00097F44"/>
    <w:rsid w:val="000A181D"/>
    <w:rsid w:val="000A512A"/>
    <w:rsid w:val="000A5B44"/>
    <w:rsid w:val="000B021C"/>
    <w:rsid w:val="000B14ED"/>
    <w:rsid w:val="000B218A"/>
    <w:rsid w:val="000B3BF0"/>
    <w:rsid w:val="000B51A1"/>
    <w:rsid w:val="000B5C3F"/>
    <w:rsid w:val="000B6022"/>
    <w:rsid w:val="000B6AC1"/>
    <w:rsid w:val="000B723B"/>
    <w:rsid w:val="000B7CBA"/>
    <w:rsid w:val="000C0501"/>
    <w:rsid w:val="000C24DE"/>
    <w:rsid w:val="000C3921"/>
    <w:rsid w:val="000C3940"/>
    <w:rsid w:val="000C3DBD"/>
    <w:rsid w:val="000C3F5B"/>
    <w:rsid w:val="000C52DD"/>
    <w:rsid w:val="000C5BAF"/>
    <w:rsid w:val="000C6071"/>
    <w:rsid w:val="000D0B69"/>
    <w:rsid w:val="000D10E1"/>
    <w:rsid w:val="000D3333"/>
    <w:rsid w:val="000D4614"/>
    <w:rsid w:val="000D7568"/>
    <w:rsid w:val="000E1117"/>
    <w:rsid w:val="000E2D51"/>
    <w:rsid w:val="000E381F"/>
    <w:rsid w:val="000E417D"/>
    <w:rsid w:val="000E4F98"/>
    <w:rsid w:val="000F08D1"/>
    <w:rsid w:val="000F0AC1"/>
    <w:rsid w:val="000F1A21"/>
    <w:rsid w:val="000F625C"/>
    <w:rsid w:val="00100728"/>
    <w:rsid w:val="001060E1"/>
    <w:rsid w:val="00107024"/>
    <w:rsid w:val="00112F8B"/>
    <w:rsid w:val="00113EA6"/>
    <w:rsid w:val="00114CBD"/>
    <w:rsid w:val="001151CD"/>
    <w:rsid w:val="00115E7D"/>
    <w:rsid w:val="00116E52"/>
    <w:rsid w:val="0011704A"/>
    <w:rsid w:val="00117162"/>
    <w:rsid w:val="001204F5"/>
    <w:rsid w:val="00120A4C"/>
    <w:rsid w:val="00122745"/>
    <w:rsid w:val="00122829"/>
    <w:rsid w:val="00125286"/>
    <w:rsid w:val="001257C8"/>
    <w:rsid w:val="001268DE"/>
    <w:rsid w:val="00126FE2"/>
    <w:rsid w:val="001275DB"/>
    <w:rsid w:val="001321B7"/>
    <w:rsid w:val="0013435E"/>
    <w:rsid w:val="0013559E"/>
    <w:rsid w:val="001426B9"/>
    <w:rsid w:val="00143D0F"/>
    <w:rsid w:val="00144A9C"/>
    <w:rsid w:val="00151C40"/>
    <w:rsid w:val="0015475A"/>
    <w:rsid w:val="00154E79"/>
    <w:rsid w:val="00154EC8"/>
    <w:rsid w:val="00156713"/>
    <w:rsid w:val="00156D88"/>
    <w:rsid w:val="001574F5"/>
    <w:rsid w:val="00160184"/>
    <w:rsid w:val="00161C6C"/>
    <w:rsid w:val="00162D22"/>
    <w:rsid w:val="00163A33"/>
    <w:rsid w:val="001648BE"/>
    <w:rsid w:val="00165103"/>
    <w:rsid w:val="00166195"/>
    <w:rsid w:val="00166637"/>
    <w:rsid w:val="00166A19"/>
    <w:rsid w:val="00166DB5"/>
    <w:rsid w:val="00167165"/>
    <w:rsid w:val="001708F2"/>
    <w:rsid w:val="00172EDC"/>
    <w:rsid w:val="00173DD1"/>
    <w:rsid w:val="00174D5A"/>
    <w:rsid w:val="00180EAE"/>
    <w:rsid w:val="00181414"/>
    <w:rsid w:val="001820C3"/>
    <w:rsid w:val="00182E9C"/>
    <w:rsid w:val="00184BFD"/>
    <w:rsid w:val="00190ED0"/>
    <w:rsid w:val="0019235A"/>
    <w:rsid w:val="0019494D"/>
    <w:rsid w:val="00194F04"/>
    <w:rsid w:val="0019540C"/>
    <w:rsid w:val="00196B9C"/>
    <w:rsid w:val="001977D2"/>
    <w:rsid w:val="001A185D"/>
    <w:rsid w:val="001A2F52"/>
    <w:rsid w:val="001A3784"/>
    <w:rsid w:val="001A49E4"/>
    <w:rsid w:val="001A4CB2"/>
    <w:rsid w:val="001A5BA6"/>
    <w:rsid w:val="001A5BE5"/>
    <w:rsid w:val="001B0C5F"/>
    <w:rsid w:val="001B247C"/>
    <w:rsid w:val="001B343C"/>
    <w:rsid w:val="001B5BC3"/>
    <w:rsid w:val="001B614A"/>
    <w:rsid w:val="001B74DE"/>
    <w:rsid w:val="001B75E4"/>
    <w:rsid w:val="001C0EB7"/>
    <w:rsid w:val="001C22D7"/>
    <w:rsid w:val="001C3AB5"/>
    <w:rsid w:val="001C58EE"/>
    <w:rsid w:val="001C6944"/>
    <w:rsid w:val="001C6C5F"/>
    <w:rsid w:val="001D0160"/>
    <w:rsid w:val="001D1A1C"/>
    <w:rsid w:val="001D1B06"/>
    <w:rsid w:val="001E26EA"/>
    <w:rsid w:val="001E51E2"/>
    <w:rsid w:val="001E5B1F"/>
    <w:rsid w:val="001E74D2"/>
    <w:rsid w:val="001E7D27"/>
    <w:rsid w:val="001F1511"/>
    <w:rsid w:val="001F56D1"/>
    <w:rsid w:val="001F6A3D"/>
    <w:rsid w:val="002000D2"/>
    <w:rsid w:val="0020194D"/>
    <w:rsid w:val="0020194E"/>
    <w:rsid w:val="00202218"/>
    <w:rsid w:val="002033DE"/>
    <w:rsid w:val="0020488F"/>
    <w:rsid w:val="00204C89"/>
    <w:rsid w:val="00207179"/>
    <w:rsid w:val="00207296"/>
    <w:rsid w:val="00210698"/>
    <w:rsid w:val="00211687"/>
    <w:rsid w:val="00212CA9"/>
    <w:rsid w:val="0021368C"/>
    <w:rsid w:val="0021394A"/>
    <w:rsid w:val="00215122"/>
    <w:rsid w:val="002152F6"/>
    <w:rsid w:val="00217888"/>
    <w:rsid w:val="002216E1"/>
    <w:rsid w:val="00221A2A"/>
    <w:rsid w:val="002242DE"/>
    <w:rsid w:val="00224512"/>
    <w:rsid w:val="00224BD1"/>
    <w:rsid w:val="00224F4B"/>
    <w:rsid w:val="00225A0A"/>
    <w:rsid w:val="00230077"/>
    <w:rsid w:val="002303EB"/>
    <w:rsid w:val="00232507"/>
    <w:rsid w:val="0023306E"/>
    <w:rsid w:val="00234497"/>
    <w:rsid w:val="00234668"/>
    <w:rsid w:val="00235ABA"/>
    <w:rsid w:val="00236E0E"/>
    <w:rsid w:val="00237166"/>
    <w:rsid w:val="00237F98"/>
    <w:rsid w:val="0024038F"/>
    <w:rsid w:val="0024163B"/>
    <w:rsid w:val="002417EA"/>
    <w:rsid w:val="00241D9D"/>
    <w:rsid w:val="0024355F"/>
    <w:rsid w:val="00245051"/>
    <w:rsid w:val="002559FB"/>
    <w:rsid w:val="00260749"/>
    <w:rsid w:val="002628AE"/>
    <w:rsid w:val="002646EF"/>
    <w:rsid w:val="00265C20"/>
    <w:rsid w:val="00270473"/>
    <w:rsid w:val="00270AFB"/>
    <w:rsid w:val="00272AF4"/>
    <w:rsid w:val="00274646"/>
    <w:rsid w:val="00275838"/>
    <w:rsid w:val="00277583"/>
    <w:rsid w:val="00281E23"/>
    <w:rsid w:val="00282173"/>
    <w:rsid w:val="00282D11"/>
    <w:rsid w:val="00285116"/>
    <w:rsid w:val="00285F40"/>
    <w:rsid w:val="0028753C"/>
    <w:rsid w:val="00287A64"/>
    <w:rsid w:val="00287E81"/>
    <w:rsid w:val="002910E1"/>
    <w:rsid w:val="002914BD"/>
    <w:rsid w:val="002933E1"/>
    <w:rsid w:val="00295C6C"/>
    <w:rsid w:val="0029651F"/>
    <w:rsid w:val="00297EFE"/>
    <w:rsid w:val="002A05A9"/>
    <w:rsid w:val="002A0766"/>
    <w:rsid w:val="002A20E6"/>
    <w:rsid w:val="002A292F"/>
    <w:rsid w:val="002A3BE2"/>
    <w:rsid w:val="002A50D3"/>
    <w:rsid w:val="002A603B"/>
    <w:rsid w:val="002B331B"/>
    <w:rsid w:val="002B5383"/>
    <w:rsid w:val="002B5916"/>
    <w:rsid w:val="002B5C1D"/>
    <w:rsid w:val="002B71C0"/>
    <w:rsid w:val="002B76F1"/>
    <w:rsid w:val="002B770C"/>
    <w:rsid w:val="002B7962"/>
    <w:rsid w:val="002C31B6"/>
    <w:rsid w:val="002C3AAA"/>
    <w:rsid w:val="002C3EF9"/>
    <w:rsid w:val="002C6A1B"/>
    <w:rsid w:val="002C6CD2"/>
    <w:rsid w:val="002C7A5D"/>
    <w:rsid w:val="002C7ECF"/>
    <w:rsid w:val="002D0184"/>
    <w:rsid w:val="002D20AA"/>
    <w:rsid w:val="002D6723"/>
    <w:rsid w:val="002E303E"/>
    <w:rsid w:val="002E3FB1"/>
    <w:rsid w:val="002E667B"/>
    <w:rsid w:val="002E73AD"/>
    <w:rsid w:val="002F1059"/>
    <w:rsid w:val="002F77CC"/>
    <w:rsid w:val="00302DF3"/>
    <w:rsid w:val="00303A81"/>
    <w:rsid w:val="00304B2E"/>
    <w:rsid w:val="003073A3"/>
    <w:rsid w:val="00307CB1"/>
    <w:rsid w:val="00310BA0"/>
    <w:rsid w:val="00312346"/>
    <w:rsid w:val="00316B5D"/>
    <w:rsid w:val="003176C3"/>
    <w:rsid w:val="00321206"/>
    <w:rsid w:val="00322D5D"/>
    <w:rsid w:val="00325727"/>
    <w:rsid w:val="00326473"/>
    <w:rsid w:val="00327633"/>
    <w:rsid w:val="00334FFC"/>
    <w:rsid w:val="00337CC9"/>
    <w:rsid w:val="00341449"/>
    <w:rsid w:val="003428DA"/>
    <w:rsid w:val="00342BAD"/>
    <w:rsid w:val="0034385A"/>
    <w:rsid w:val="003449FD"/>
    <w:rsid w:val="00350E30"/>
    <w:rsid w:val="00351C0B"/>
    <w:rsid w:val="00353468"/>
    <w:rsid w:val="00353F34"/>
    <w:rsid w:val="003540F0"/>
    <w:rsid w:val="00357386"/>
    <w:rsid w:val="00360552"/>
    <w:rsid w:val="00360849"/>
    <w:rsid w:val="003627FB"/>
    <w:rsid w:val="0036378B"/>
    <w:rsid w:val="00364869"/>
    <w:rsid w:val="00365EDF"/>
    <w:rsid w:val="00367E21"/>
    <w:rsid w:val="003728D1"/>
    <w:rsid w:val="00375496"/>
    <w:rsid w:val="0037649A"/>
    <w:rsid w:val="00380F9F"/>
    <w:rsid w:val="00381AAC"/>
    <w:rsid w:val="00382DAF"/>
    <w:rsid w:val="00382F6C"/>
    <w:rsid w:val="0038490D"/>
    <w:rsid w:val="003850AF"/>
    <w:rsid w:val="00385CF3"/>
    <w:rsid w:val="00387B6B"/>
    <w:rsid w:val="00387C57"/>
    <w:rsid w:val="003903D6"/>
    <w:rsid w:val="00391593"/>
    <w:rsid w:val="003926D0"/>
    <w:rsid w:val="00392DC0"/>
    <w:rsid w:val="00393CC9"/>
    <w:rsid w:val="00397C37"/>
    <w:rsid w:val="003A067B"/>
    <w:rsid w:val="003A0D97"/>
    <w:rsid w:val="003A1813"/>
    <w:rsid w:val="003A5CD6"/>
    <w:rsid w:val="003A6666"/>
    <w:rsid w:val="003A73E1"/>
    <w:rsid w:val="003A7CF8"/>
    <w:rsid w:val="003B24C5"/>
    <w:rsid w:val="003B3FB2"/>
    <w:rsid w:val="003B6A4C"/>
    <w:rsid w:val="003B770C"/>
    <w:rsid w:val="003C14FD"/>
    <w:rsid w:val="003C1E01"/>
    <w:rsid w:val="003C752B"/>
    <w:rsid w:val="003D0072"/>
    <w:rsid w:val="003D353A"/>
    <w:rsid w:val="003D360D"/>
    <w:rsid w:val="003D5ED1"/>
    <w:rsid w:val="003E133E"/>
    <w:rsid w:val="003E16EC"/>
    <w:rsid w:val="003E186A"/>
    <w:rsid w:val="003E1CBD"/>
    <w:rsid w:val="003E3CA4"/>
    <w:rsid w:val="003E78C1"/>
    <w:rsid w:val="003F50A3"/>
    <w:rsid w:val="00401E72"/>
    <w:rsid w:val="0040270B"/>
    <w:rsid w:val="0040350B"/>
    <w:rsid w:val="00404677"/>
    <w:rsid w:val="004056D8"/>
    <w:rsid w:val="00407E30"/>
    <w:rsid w:val="0041001C"/>
    <w:rsid w:val="00410D4E"/>
    <w:rsid w:val="00412A13"/>
    <w:rsid w:val="00417149"/>
    <w:rsid w:val="00420932"/>
    <w:rsid w:val="00423061"/>
    <w:rsid w:val="00424347"/>
    <w:rsid w:val="00424CE7"/>
    <w:rsid w:val="004256DC"/>
    <w:rsid w:val="00427C70"/>
    <w:rsid w:val="00427FE8"/>
    <w:rsid w:val="004306D0"/>
    <w:rsid w:val="00431595"/>
    <w:rsid w:val="00432663"/>
    <w:rsid w:val="00434290"/>
    <w:rsid w:val="004347B6"/>
    <w:rsid w:val="00440387"/>
    <w:rsid w:val="004407B7"/>
    <w:rsid w:val="00440D45"/>
    <w:rsid w:val="00441FA1"/>
    <w:rsid w:val="00446BD9"/>
    <w:rsid w:val="004471FA"/>
    <w:rsid w:val="00447320"/>
    <w:rsid w:val="004537A6"/>
    <w:rsid w:val="004557D5"/>
    <w:rsid w:val="00455ACF"/>
    <w:rsid w:val="00455BED"/>
    <w:rsid w:val="00456099"/>
    <w:rsid w:val="0045685A"/>
    <w:rsid w:val="00456AEF"/>
    <w:rsid w:val="0045794A"/>
    <w:rsid w:val="00463865"/>
    <w:rsid w:val="0046469B"/>
    <w:rsid w:val="00465BB6"/>
    <w:rsid w:val="004665CB"/>
    <w:rsid w:val="0046666A"/>
    <w:rsid w:val="004671AD"/>
    <w:rsid w:val="00470799"/>
    <w:rsid w:val="00470B8A"/>
    <w:rsid w:val="00473BFE"/>
    <w:rsid w:val="004741ED"/>
    <w:rsid w:val="00476586"/>
    <w:rsid w:val="00476B39"/>
    <w:rsid w:val="00477EAD"/>
    <w:rsid w:val="0048073D"/>
    <w:rsid w:val="0048331D"/>
    <w:rsid w:val="00483F26"/>
    <w:rsid w:val="00484FB6"/>
    <w:rsid w:val="00486FDC"/>
    <w:rsid w:val="00487DE8"/>
    <w:rsid w:val="004903DB"/>
    <w:rsid w:val="00490C0F"/>
    <w:rsid w:val="00491127"/>
    <w:rsid w:val="00491A38"/>
    <w:rsid w:val="00495C54"/>
    <w:rsid w:val="00496C50"/>
    <w:rsid w:val="004A0DF9"/>
    <w:rsid w:val="004A2A7D"/>
    <w:rsid w:val="004A353B"/>
    <w:rsid w:val="004A47BA"/>
    <w:rsid w:val="004A5406"/>
    <w:rsid w:val="004A6EC0"/>
    <w:rsid w:val="004B0719"/>
    <w:rsid w:val="004B1A0A"/>
    <w:rsid w:val="004B1E6C"/>
    <w:rsid w:val="004B3174"/>
    <w:rsid w:val="004C0EB0"/>
    <w:rsid w:val="004C254E"/>
    <w:rsid w:val="004C3E75"/>
    <w:rsid w:val="004C44C9"/>
    <w:rsid w:val="004C4EA1"/>
    <w:rsid w:val="004C7CAE"/>
    <w:rsid w:val="004D06A3"/>
    <w:rsid w:val="004D16A6"/>
    <w:rsid w:val="004D3180"/>
    <w:rsid w:val="004D4565"/>
    <w:rsid w:val="004D5199"/>
    <w:rsid w:val="004E0220"/>
    <w:rsid w:val="004E0B00"/>
    <w:rsid w:val="004E0C9C"/>
    <w:rsid w:val="004E157C"/>
    <w:rsid w:val="004E19E7"/>
    <w:rsid w:val="004E407C"/>
    <w:rsid w:val="004E564B"/>
    <w:rsid w:val="004F0644"/>
    <w:rsid w:val="004F1585"/>
    <w:rsid w:val="004F3BB1"/>
    <w:rsid w:val="004F3DE3"/>
    <w:rsid w:val="004F72B9"/>
    <w:rsid w:val="00500027"/>
    <w:rsid w:val="00500DEB"/>
    <w:rsid w:val="005027C7"/>
    <w:rsid w:val="00504B35"/>
    <w:rsid w:val="0050628A"/>
    <w:rsid w:val="00506333"/>
    <w:rsid w:val="00512C92"/>
    <w:rsid w:val="00514DAB"/>
    <w:rsid w:val="00516524"/>
    <w:rsid w:val="00520B2A"/>
    <w:rsid w:val="00520F02"/>
    <w:rsid w:val="00522912"/>
    <w:rsid w:val="00524557"/>
    <w:rsid w:val="0052582A"/>
    <w:rsid w:val="00525D11"/>
    <w:rsid w:val="005264E8"/>
    <w:rsid w:val="00526DBA"/>
    <w:rsid w:val="00531614"/>
    <w:rsid w:val="00532203"/>
    <w:rsid w:val="005324D4"/>
    <w:rsid w:val="00532669"/>
    <w:rsid w:val="00532755"/>
    <w:rsid w:val="00532C11"/>
    <w:rsid w:val="0053463A"/>
    <w:rsid w:val="00535807"/>
    <w:rsid w:val="00536C6E"/>
    <w:rsid w:val="00537CD8"/>
    <w:rsid w:val="00540685"/>
    <w:rsid w:val="00543267"/>
    <w:rsid w:val="005450C3"/>
    <w:rsid w:val="0054580A"/>
    <w:rsid w:val="00546504"/>
    <w:rsid w:val="00546836"/>
    <w:rsid w:val="00546B1F"/>
    <w:rsid w:val="00557CF6"/>
    <w:rsid w:val="005607BC"/>
    <w:rsid w:val="005631D3"/>
    <w:rsid w:val="005638A1"/>
    <w:rsid w:val="00563D7E"/>
    <w:rsid w:val="005644E1"/>
    <w:rsid w:val="00567930"/>
    <w:rsid w:val="0057004D"/>
    <w:rsid w:val="00571774"/>
    <w:rsid w:val="00573D49"/>
    <w:rsid w:val="0057575D"/>
    <w:rsid w:val="00575785"/>
    <w:rsid w:val="00576ABA"/>
    <w:rsid w:val="00577EE5"/>
    <w:rsid w:val="005801C9"/>
    <w:rsid w:val="00580E5D"/>
    <w:rsid w:val="00581CBA"/>
    <w:rsid w:val="0058219E"/>
    <w:rsid w:val="005824CF"/>
    <w:rsid w:val="0058303A"/>
    <w:rsid w:val="005861C6"/>
    <w:rsid w:val="00587341"/>
    <w:rsid w:val="005900D2"/>
    <w:rsid w:val="005929C2"/>
    <w:rsid w:val="005962BA"/>
    <w:rsid w:val="00597729"/>
    <w:rsid w:val="00597925"/>
    <w:rsid w:val="00597FC3"/>
    <w:rsid w:val="005A0A2D"/>
    <w:rsid w:val="005A1E7A"/>
    <w:rsid w:val="005A2D3E"/>
    <w:rsid w:val="005A6766"/>
    <w:rsid w:val="005B0033"/>
    <w:rsid w:val="005B02C8"/>
    <w:rsid w:val="005B7D94"/>
    <w:rsid w:val="005C030A"/>
    <w:rsid w:val="005C2419"/>
    <w:rsid w:val="005C5D03"/>
    <w:rsid w:val="005C6007"/>
    <w:rsid w:val="005C7681"/>
    <w:rsid w:val="005D0571"/>
    <w:rsid w:val="005D6F98"/>
    <w:rsid w:val="005D758D"/>
    <w:rsid w:val="005D7D2E"/>
    <w:rsid w:val="005E1881"/>
    <w:rsid w:val="005E356F"/>
    <w:rsid w:val="005E5C22"/>
    <w:rsid w:val="005E7946"/>
    <w:rsid w:val="005F10B8"/>
    <w:rsid w:val="005F15C9"/>
    <w:rsid w:val="005F18A6"/>
    <w:rsid w:val="005F21E0"/>
    <w:rsid w:val="00600DFC"/>
    <w:rsid w:val="00601CA4"/>
    <w:rsid w:val="006049C1"/>
    <w:rsid w:val="006067D3"/>
    <w:rsid w:val="006069CD"/>
    <w:rsid w:val="00606C15"/>
    <w:rsid w:val="00607240"/>
    <w:rsid w:val="0061021B"/>
    <w:rsid w:val="00612EFE"/>
    <w:rsid w:val="00614638"/>
    <w:rsid w:val="00614C49"/>
    <w:rsid w:val="00617341"/>
    <w:rsid w:val="00617B41"/>
    <w:rsid w:val="00621270"/>
    <w:rsid w:val="00621339"/>
    <w:rsid w:val="00622B27"/>
    <w:rsid w:val="00622F82"/>
    <w:rsid w:val="0062338C"/>
    <w:rsid w:val="00623492"/>
    <w:rsid w:val="006239EF"/>
    <w:rsid w:val="00623B61"/>
    <w:rsid w:val="00625E89"/>
    <w:rsid w:val="00626111"/>
    <w:rsid w:val="006262FB"/>
    <w:rsid w:val="00626F0D"/>
    <w:rsid w:val="0062785E"/>
    <w:rsid w:val="00631308"/>
    <w:rsid w:val="006324E0"/>
    <w:rsid w:val="00633724"/>
    <w:rsid w:val="00633B01"/>
    <w:rsid w:val="00634DB2"/>
    <w:rsid w:val="006353A2"/>
    <w:rsid w:val="0063552B"/>
    <w:rsid w:val="006355C0"/>
    <w:rsid w:val="00636B1B"/>
    <w:rsid w:val="00637076"/>
    <w:rsid w:val="0064123A"/>
    <w:rsid w:val="006429DB"/>
    <w:rsid w:val="00642F6F"/>
    <w:rsid w:val="00643431"/>
    <w:rsid w:val="00643957"/>
    <w:rsid w:val="00645098"/>
    <w:rsid w:val="00645A44"/>
    <w:rsid w:val="00645CE8"/>
    <w:rsid w:val="00646A54"/>
    <w:rsid w:val="00646B5E"/>
    <w:rsid w:val="00651098"/>
    <w:rsid w:val="00652040"/>
    <w:rsid w:val="00653A3E"/>
    <w:rsid w:val="00654773"/>
    <w:rsid w:val="006547A0"/>
    <w:rsid w:val="00654A78"/>
    <w:rsid w:val="00654C5B"/>
    <w:rsid w:val="00655213"/>
    <w:rsid w:val="00656BB1"/>
    <w:rsid w:val="00660083"/>
    <w:rsid w:val="006604D9"/>
    <w:rsid w:val="00660BBB"/>
    <w:rsid w:val="00662515"/>
    <w:rsid w:val="00665936"/>
    <w:rsid w:val="00666152"/>
    <w:rsid w:val="0066629E"/>
    <w:rsid w:val="006668B0"/>
    <w:rsid w:val="006678CD"/>
    <w:rsid w:val="00667EDC"/>
    <w:rsid w:val="006706E5"/>
    <w:rsid w:val="00670A9E"/>
    <w:rsid w:val="0067102E"/>
    <w:rsid w:val="0067457F"/>
    <w:rsid w:val="006803F2"/>
    <w:rsid w:val="00685ECE"/>
    <w:rsid w:val="00686158"/>
    <w:rsid w:val="0068661E"/>
    <w:rsid w:val="00686719"/>
    <w:rsid w:val="006921F2"/>
    <w:rsid w:val="00695063"/>
    <w:rsid w:val="00696DFA"/>
    <w:rsid w:val="006A2B10"/>
    <w:rsid w:val="006A35DD"/>
    <w:rsid w:val="006A3740"/>
    <w:rsid w:val="006A6052"/>
    <w:rsid w:val="006A60E7"/>
    <w:rsid w:val="006B4FD2"/>
    <w:rsid w:val="006B5D63"/>
    <w:rsid w:val="006B5F1D"/>
    <w:rsid w:val="006C1480"/>
    <w:rsid w:val="006C17E7"/>
    <w:rsid w:val="006D34F8"/>
    <w:rsid w:val="006D402D"/>
    <w:rsid w:val="006D559A"/>
    <w:rsid w:val="006D6FAA"/>
    <w:rsid w:val="006E09D0"/>
    <w:rsid w:val="006E1A4A"/>
    <w:rsid w:val="006E3280"/>
    <w:rsid w:val="006F086E"/>
    <w:rsid w:val="006F14B1"/>
    <w:rsid w:val="006F37DC"/>
    <w:rsid w:val="006F59CD"/>
    <w:rsid w:val="006F5B37"/>
    <w:rsid w:val="006F6D63"/>
    <w:rsid w:val="007001A3"/>
    <w:rsid w:val="00703540"/>
    <w:rsid w:val="007039FF"/>
    <w:rsid w:val="007043B6"/>
    <w:rsid w:val="007067E8"/>
    <w:rsid w:val="0070744D"/>
    <w:rsid w:val="007103F0"/>
    <w:rsid w:val="007115D8"/>
    <w:rsid w:val="00711BF4"/>
    <w:rsid w:val="00711D56"/>
    <w:rsid w:val="007130EA"/>
    <w:rsid w:val="007133A5"/>
    <w:rsid w:val="0071380D"/>
    <w:rsid w:val="00713D41"/>
    <w:rsid w:val="00715386"/>
    <w:rsid w:val="0071678E"/>
    <w:rsid w:val="00720EE8"/>
    <w:rsid w:val="00721C3C"/>
    <w:rsid w:val="00724683"/>
    <w:rsid w:val="007246BA"/>
    <w:rsid w:val="00726281"/>
    <w:rsid w:val="007269ED"/>
    <w:rsid w:val="00732554"/>
    <w:rsid w:val="007340E4"/>
    <w:rsid w:val="00736AE0"/>
    <w:rsid w:val="00736BF4"/>
    <w:rsid w:val="00742B66"/>
    <w:rsid w:val="00743765"/>
    <w:rsid w:val="00743F9C"/>
    <w:rsid w:val="00743FA7"/>
    <w:rsid w:val="0074530F"/>
    <w:rsid w:val="00745B6A"/>
    <w:rsid w:val="00745FE4"/>
    <w:rsid w:val="00747FAB"/>
    <w:rsid w:val="00750F06"/>
    <w:rsid w:val="00751320"/>
    <w:rsid w:val="007525C8"/>
    <w:rsid w:val="00754921"/>
    <w:rsid w:val="00755596"/>
    <w:rsid w:val="00755F8C"/>
    <w:rsid w:val="00761587"/>
    <w:rsid w:val="00765058"/>
    <w:rsid w:val="007679FA"/>
    <w:rsid w:val="00767B51"/>
    <w:rsid w:val="00771CAB"/>
    <w:rsid w:val="00774412"/>
    <w:rsid w:val="00775061"/>
    <w:rsid w:val="00775612"/>
    <w:rsid w:val="00776217"/>
    <w:rsid w:val="00783675"/>
    <w:rsid w:val="00783848"/>
    <w:rsid w:val="00783A9B"/>
    <w:rsid w:val="007842EC"/>
    <w:rsid w:val="00784A0E"/>
    <w:rsid w:val="007919FC"/>
    <w:rsid w:val="0079272C"/>
    <w:rsid w:val="00793A46"/>
    <w:rsid w:val="00795575"/>
    <w:rsid w:val="0079627E"/>
    <w:rsid w:val="007A066C"/>
    <w:rsid w:val="007A4524"/>
    <w:rsid w:val="007A5EFD"/>
    <w:rsid w:val="007A7E24"/>
    <w:rsid w:val="007B1ADE"/>
    <w:rsid w:val="007B282B"/>
    <w:rsid w:val="007B4961"/>
    <w:rsid w:val="007B5A48"/>
    <w:rsid w:val="007B6742"/>
    <w:rsid w:val="007B6FDE"/>
    <w:rsid w:val="007B7944"/>
    <w:rsid w:val="007B7B00"/>
    <w:rsid w:val="007B7FC7"/>
    <w:rsid w:val="007C2D7D"/>
    <w:rsid w:val="007C3588"/>
    <w:rsid w:val="007C3841"/>
    <w:rsid w:val="007C7C2C"/>
    <w:rsid w:val="007D0CBE"/>
    <w:rsid w:val="007D22FC"/>
    <w:rsid w:val="007D3921"/>
    <w:rsid w:val="007D527F"/>
    <w:rsid w:val="007D6EFB"/>
    <w:rsid w:val="007E1D1F"/>
    <w:rsid w:val="007E26AB"/>
    <w:rsid w:val="007E5557"/>
    <w:rsid w:val="007E5C15"/>
    <w:rsid w:val="007E667F"/>
    <w:rsid w:val="007E6E72"/>
    <w:rsid w:val="007E7413"/>
    <w:rsid w:val="007F1C14"/>
    <w:rsid w:val="007F2FD2"/>
    <w:rsid w:val="007F722D"/>
    <w:rsid w:val="007F7CE9"/>
    <w:rsid w:val="00804E6D"/>
    <w:rsid w:val="00807EC0"/>
    <w:rsid w:val="008208CB"/>
    <w:rsid w:val="00823E54"/>
    <w:rsid w:val="00825721"/>
    <w:rsid w:val="00826C8C"/>
    <w:rsid w:val="008273E4"/>
    <w:rsid w:val="00827D5B"/>
    <w:rsid w:val="00830756"/>
    <w:rsid w:val="0083224D"/>
    <w:rsid w:val="00832CDB"/>
    <w:rsid w:val="008339A5"/>
    <w:rsid w:val="00833F01"/>
    <w:rsid w:val="00835068"/>
    <w:rsid w:val="00841A5F"/>
    <w:rsid w:val="0084236A"/>
    <w:rsid w:val="00842794"/>
    <w:rsid w:val="008427BE"/>
    <w:rsid w:val="00842C4F"/>
    <w:rsid w:val="008433EA"/>
    <w:rsid w:val="008443CF"/>
    <w:rsid w:val="0084642C"/>
    <w:rsid w:val="00846567"/>
    <w:rsid w:val="00850FB2"/>
    <w:rsid w:val="0085256E"/>
    <w:rsid w:val="00852CCB"/>
    <w:rsid w:val="00855417"/>
    <w:rsid w:val="008567E5"/>
    <w:rsid w:val="00857BF6"/>
    <w:rsid w:val="008606D5"/>
    <w:rsid w:val="00865922"/>
    <w:rsid w:val="00870700"/>
    <w:rsid w:val="00872A5C"/>
    <w:rsid w:val="00873783"/>
    <w:rsid w:val="00873FF1"/>
    <w:rsid w:val="008742DE"/>
    <w:rsid w:val="008745B6"/>
    <w:rsid w:val="00874CCF"/>
    <w:rsid w:val="00875E3F"/>
    <w:rsid w:val="008761A4"/>
    <w:rsid w:val="00877577"/>
    <w:rsid w:val="00881427"/>
    <w:rsid w:val="0088191B"/>
    <w:rsid w:val="00883A78"/>
    <w:rsid w:val="00886B84"/>
    <w:rsid w:val="00892BF1"/>
    <w:rsid w:val="00894E09"/>
    <w:rsid w:val="00895C50"/>
    <w:rsid w:val="0089657D"/>
    <w:rsid w:val="00896D19"/>
    <w:rsid w:val="00897F53"/>
    <w:rsid w:val="008A1B13"/>
    <w:rsid w:val="008A37D9"/>
    <w:rsid w:val="008A4137"/>
    <w:rsid w:val="008A42B7"/>
    <w:rsid w:val="008A4F54"/>
    <w:rsid w:val="008A5C4D"/>
    <w:rsid w:val="008A6EBE"/>
    <w:rsid w:val="008B12E8"/>
    <w:rsid w:val="008B14BB"/>
    <w:rsid w:val="008B508F"/>
    <w:rsid w:val="008B50FB"/>
    <w:rsid w:val="008B6169"/>
    <w:rsid w:val="008B747B"/>
    <w:rsid w:val="008B7747"/>
    <w:rsid w:val="008B7B9E"/>
    <w:rsid w:val="008C0E9B"/>
    <w:rsid w:val="008C15A0"/>
    <w:rsid w:val="008C1730"/>
    <w:rsid w:val="008C3FF6"/>
    <w:rsid w:val="008C650A"/>
    <w:rsid w:val="008D068F"/>
    <w:rsid w:val="008D2923"/>
    <w:rsid w:val="008D4D77"/>
    <w:rsid w:val="008D4DF0"/>
    <w:rsid w:val="008D6147"/>
    <w:rsid w:val="008D6BA7"/>
    <w:rsid w:val="008D741A"/>
    <w:rsid w:val="008D76BE"/>
    <w:rsid w:val="008D7933"/>
    <w:rsid w:val="008E089B"/>
    <w:rsid w:val="008E1ACA"/>
    <w:rsid w:val="008E2734"/>
    <w:rsid w:val="008E320E"/>
    <w:rsid w:val="008E4B71"/>
    <w:rsid w:val="008E575B"/>
    <w:rsid w:val="008F0DA7"/>
    <w:rsid w:val="008F1443"/>
    <w:rsid w:val="008F15FF"/>
    <w:rsid w:val="008F2BA9"/>
    <w:rsid w:val="008F3355"/>
    <w:rsid w:val="008F62C6"/>
    <w:rsid w:val="008F6C63"/>
    <w:rsid w:val="008F7F70"/>
    <w:rsid w:val="009022F7"/>
    <w:rsid w:val="00903C09"/>
    <w:rsid w:val="009040B9"/>
    <w:rsid w:val="00904C95"/>
    <w:rsid w:val="0090530F"/>
    <w:rsid w:val="00911B6D"/>
    <w:rsid w:val="00911BEE"/>
    <w:rsid w:val="00913554"/>
    <w:rsid w:val="009159D3"/>
    <w:rsid w:val="0091646C"/>
    <w:rsid w:val="00917FEB"/>
    <w:rsid w:val="00920DCF"/>
    <w:rsid w:val="009216D1"/>
    <w:rsid w:val="00922086"/>
    <w:rsid w:val="00922E41"/>
    <w:rsid w:val="00923B60"/>
    <w:rsid w:val="0092501F"/>
    <w:rsid w:val="009260D6"/>
    <w:rsid w:val="009260E2"/>
    <w:rsid w:val="00927436"/>
    <w:rsid w:val="00930907"/>
    <w:rsid w:val="00934C79"/>
    <w:rsid w:val="0093659B"/>
    <w:rsid w:val="00936B79"/>
    <w:rsid w:val="0093787F"/>
    <w:rsid w:val="00937DF1"/>
    <w:rsid w:val="00943970"/>
    <w:rsid w:val="0094595A"/>
    <w:rsid w:val="00946012"/>
    <w:rsid w:val="0094620E"/>
    <w:rsid w:val="00946222"/>
    <w:rsid w:val="00950620"/>
    <w:rsid w:val="00951EB5"/>
    <w:rsid w:val="00953F07"/>
    <w:rsid w:val="00954110"/>
    <w:rsid w:val="009549FB"/>
    <w:rsid w:val="0095657E"/>
    <w:rsid w:val="00956A70"/>
    <w:rsid w:val="00961003"/>
    <w:rsid w:val="00963B9A"/>
    <w:rsid w:val="00964099"/>
    <w:rsid w:val="009661C3"/>
    <w:rsid w:val="00967B1B"/>
    <w:rsid w:val="0097199A"/>
    <w:rsid w:val="009729AF"/>
    <w:rsid w:val="009757C1"/>
    <w:rsid w:val="00976973"/>
    <w:rsid w:val="00977183"/>
    <w:rsid w:val="00980E3A"/>
    <w:rsid w:val="00981065"/>
    <w:rsid w:val="009830E1"/>
    <w:rsid w:val="00983F89"/>
    <w:rsid w:val="00983FA7"/>
    <w:rsid w:val="0098448D"/>
    <w:rsid w:val="009844D3"/>
    <w:rsid w:val="00984F3C"/>
    <w:rsid w:val="00986A2C"/>
    <w:rsid w:val="00986F99"/>
    <w:rsid w:val="0098723D"/>
    <w:rsid w:val="00991313"/>
    <w:rsid w:val="00991584"/>
    <w:rsid w:val="00992DE5"/>
    <w:rsid w:val="009932DF"/>
    <w:rsid w:val="00993D4D"/>
    <w:rsid w:val="00994EAD"/>
    <w:rsid w:val="00995AE6"/>
    <w:rsid w:val="009974EF"/>
    <w:rsid w:val="009A0142"/>
    <w:rsid w:val="009A6070"/>
    <w:rsid w:val="009A7648"/>
    <w:rsid w:val="009B0009"/>
    <w:rsid w:val="009B0DE9"/>
    <w:rsid w:val="009B2651"/>
    <w:rsid w:val="009B29BA"/>
    <w:rsid w:val="009B31E6"/>
    <w:rsid w:val="009B4091"/>
    <w:rsid w:val="009C1203"/>
    <w:rsid w:val="009C2FD5"/>
    <w:rsid w:val="009C4453"/>
    <w:rsid w:val="009C4927"/>
    <w:rsid w:val="009C5C9C"/>
    <w:rsid w:val="009C6456"/>
    <w:rsid w:val="009C64DC"/>
    <w:rsid w:val="009D0217"/>
    <w:rsid w:val="009D077A"/>
    <w:rsid w:val="009D4C59"/>
    <w:rsid w:val="009D6BF2"/>
    <w:rsid w:val="009E0C3A"/>
    <w:rsid w:val="009E1955"/>
    <w:rsid w:val="009E20DE"/>
    <w:rsid w:val="009E3665"/>
    <w:rsid w:val="009E3EC7"/>
    <w:rsid w:val="009E42F7"/>
    <w:rsid w:val="009E4551"/>
    <w:rsid w:val="009E4E0F"/>
    <w:rsid w:val="009E7793"/>
    <w:rsid w:val="009F0481"/>
    <w:rsid w:val="009F1B1B"/>
    <w:rsid w:val="009F3D45"/>
    <w:rsid w:val="009F6B4A"/>
    <w:rsid w:val="00A01D98"/>
    <w:rsid w:val="00A025F0"/>
    <w:rsid w:val="00A05360"/>
    <w:rsid w:val="00A05B63"/>
    <w:rsid w:val="00A0652F"/>
    <w:rsid w:val="00A07F89"/>
    <w:rsid w:val="00A11094"/>
    <w:rsid w:val="00A11C92"/>
    <w:rsid w:val="00A1248F"/>
    <w:rsid w:val="00A15B53"/>
    <w:rsid w:val="00A16C4B"/>
    <w:rsid w:val="00A1794A"/>
    <w:rsid w:val="00A20407"/>
    <w:rsid w:val="00A22A2C"/>
    <w:rsid w:val="00A22EB1"/>
    <w:rsid w:val="00A25E2B"/>
    <w:rsid w:val="00A307F9"/>
    <w:rsid w:val="00A308F5"/>
    <w:rsid w:val="00A31329"/>
    <w:rsid w:val="00A314D5"/>
    <w:rsid w:val="00A318BD"/>
    <w:rsid w:val="00A3673C"/>
    <w:rsid w:val="00A424F5"/>
    <w:rsid w:val="00A43CAF"/>
    <w:rsid w:val="00A4400D"/>
    <w:rsid w:val="00A50ECD"/>
    <w:rsid w:val="00A52161"/>
    <w:rsid w:val="00A52663"/>
    <w:rsid w:val="00A54DF9"/>
    <w:rsid w:val="00A54E89"/>
    <w:rsid w:val="00A555A4"/>
    <w:rsid w:val="00A55F30"/>
    <w:rsid w:val="00A57BC1"/>
    <w:rsid w:val="00A61550"/>
    <w:rsid w:val="00A631C3"/>
    <w:rsid w:val="00A635A7"/>
    <w:rsid w:val="00A651BC"/>
    <w:rsid w:val="00A667BA"/>
    <w:rsid w:val="00A71D99"/>
    <w:rsid w:val="00A7260F"/>
    <w:rsid w:val="00A726AE"/>
    <w:rsid w:val="00A73723"/>
    <w:rsid w:val="00A73F84"/>
    <w:rsid w:val="00A74747"/>
    <w:rsid w:val="00A75833"/>
    <w:rsid w:val="00A77030"/>
    <w:rsid w:val="00A77FE3"/>
    <w:rsid w:val="00A81D62"/>
    <w:rsid w:val="00A8270A"/>
    <w:rsid w:val="00A83717"/>
    <w:rsid w:val="00A839A0"/>
    <w:rsid w:val="00A84519"/>
    <w:rsid w:val="00A84783"/>
    <w:rsid w:val="00A873A2"/>
    <w:rsid w:val="00A87878"/>
    <w:rsid w:val="00A907CF"/>
    <w:rsid w:val="00A920B7"/>
    <w:rsid w:val="00A922B7"/>
    <w:rsid w:val="00A924CE"/>
    <w:rsid w:val="00A94B42"/>
    <w:rsid w:val="00A94F8D"/>
    <w:rsid w:val="00A96339"/>
    <w:rsid w:val="00A965D4"/>
    <w:rsid w:val="00AA084A"/>
    <w:rsid w:val="00AB0A12"/>
    <w:rsid w:val="00AB2920"/>
    <w:rsid w:val="00AB3F20"/>
    <w:rsid w:val="00AB4ACD"/>
    <w:rsid w:val="00AB5FEF"/>
    <w:rsid w:val="00AB6E67"/>
    <w:rsid w:val="00AC0136"/>
    <w:rsid w:val="00AC0578"/>
    <w:rsid w:val="00AC12AB"/>
    <w:rsid w:val="00AC3461"/>
    <w:rsid w:val="00AC38D2"/>
    <w:rsid w:val="00AC40B9"/>
    <w:rsid w:val="00AC5A29"/>
    <w:rsid w:val="00AC6AD5"/>
    <w:rsid w:val="00AC78A0"/>
    <w:rsid w:val="00AC7AB8"/>
    <w:rsid w:val="00AD1EDD"/>
    <w:rsid w:val="00AD2129"/>
    <w:rsid w:val="00AD2B9E"/>
    <w:rsid w:val="00AD2F25"/>
    <w:rsid w:val="00AD6F0E"/>
    <w:rsid w:val="00AD7D82"/>
    <w:rsid w:val="00AE03EB"/>
    <w:rsid w:val="00AE06E4"/>
    <w:rsid w:val="00AE40B3"/>
    <w:rsid w:val="00AE42CC"/>
    <w:rsid w:val="00AE4C3E"/>
    <w:rsid w:val="00AE5A57"/>
    <w:rsid w:val="00AE5E5E"/>
    <w:rsid w:val="00AE6255"/>
    <w:rsid w:val="00AE7935"/>
    <w:rsid w:val="00AF2C1E"/>
    <w:rsid w:val="00AF7B16"/>
    <w:rsid w:val="00B00917"/>
    <w:rsid w:val="00B01E39"/>
    <w:rsid w:val="00B044A8"/>
    <w:rsid w:val="00B0624C"/>
    <w:rsid w:val="00B06286"/>
    <w:rsid w:val="00B06518"/>
    <w:rsid w:val="00B06DF6"/>
    <w:rsid w:val="00B079F4"/>
    <w:rsid w:val="00B07F97"/>
    <w:rsid w:val="00B10793"/>
    <w:rsid w:val="00B11E8A"/>
    <w:rsid w:val="00B14EC2"/>
    <w:rsid w:val="00B16917"/>
    <w:rsid w:val="00B17904"/>
    <w:rsid w:val="00B17E77"/>
    <w:rsid w:val="00B207F3"/>
    <w:rsid w:val="00B20981"/>
    <w:rsid w:val="00B2376F"/>
    <w:rsid w:val="00B23DE6"/>
    <w:rsid w:val="00B240D1"/>
    <w:rsid w:val="00B30F78"/>
    <w:rsid w:val="00B3120E"/>
    <w:rsid w:val="00B32558"/>
    <w:rsid w:val="00B32673"/>
    <w:rsid w:val="00B333B2"/>
    <w:rsid w:val="00B36BBF"/>
    <w:rsid w:val="00B374C8"/>
    <w:rsid w:val="00B41E25"/>
    <w:rsid w:val="00B4229B"/>
    <w:rsid w:val="00B460E6"/>
    <w:rsid w:val="00B46B81"/>
    <w:rsid w:val="00B47E8A"/>
    <w:rsid w:val="00B50E2D"/>
    <w:rsid w:val="00B50FDF"/>
    <w:rsid w:val="00B5110F"/>
    <w:rsid w:val="00B5296A"/>
    <w:rsid w:val="00B539F1"/>
    <w:rsid w:val="00B57411"/>
    <w:rsid w:val="00B606A0"/>
    <w:rsid w:val="00B61663"/>
    <w:rsid w:val="00B624D0"/>
    <w:rsid w:val="00B64657"/>
    <w:rsid w:val="00B67975"/>
    <w:rsid w:val="00B67C2F"/>
    <w:rsid w:val="00B67D21"/>
    <w:rsid w:val="00B70184"/>
    <w:rsid w:val="00B70861"/>
    <w:rsid w:val="00B7176F"/>
    <w:rsid w:val="00B7234E"/>
    <w:rsid w:val="00B7350D"/>
    <w:rsid w:val="00B73602"/>
    <w:rsid w:val="00B766C6"/>
    <w:rsid w:val="00B8195C"/>
    <w:rsid w:val="00B82BB2"/>
    <w:rsid w:val="00B85344"/>
    <w:rsid w:val="00B85BA5"/>
    <w:rsid w:val="00B867D4"/>
    <w:rsid w:val="00B871F8"/>
    <w:rsid w:val="00B87677"/>
    <w:rsid w:val="00B926E5"/>
    <w:rsid w:val="00B93D6F"/>
    <w:rsid w:val="00B94C85"/>
    <w:rsid w:val="00B95353"/>
    <w:rsid w:val="00B97F0A"/>
    <w:rsid w:val="00BA1351"/>
    <w:rsid w:val="00BA1C96"/>
    <w:rsid w:val="00BA21C3"/>
    <w:rsid w:val="00BA4407"/>
    <w:rsid w:val="00BA4FB8"/>
    <w:rsid w:val="00BA7F72"/>
    <w:rsid w:val="00BB46D6"/>
    <w:rsid w:val="00BB49DC"/>
    <w:rsid w:val="00BB59FD"/>
    <w:rsid w:val="00BC1C0A"/>
    <w:rsid w:val="00BC34DC"/>
    <w:rsid w:val="00BC362E"/>
    <w:rsid w:val="00BC3883"/>
    <w:rsid w:val="00BC5282"/>
    <w:rsid w:val="00BC54DE"/>
    <w:rsid w:val="00BC6681"/>
    <w:rsid w:val="00BD16D1"/>
    <w:rsid w:val="00BD1E07"/>
    <w:rsid w:val="00BD2886"/>
    <w:rsid w:val="00BD3CBB"/>
    <w:rsid w:val="00BD5C14"/>
    <w:rsid w:val="00BD5CBF"/>
    <w:rsid w:val="00BD680F"/>
    <w:rsid w:val="00BD7191"/>
    <w:rsid w:val="00BE052B"/>
    <w:rsid w:val="00BE28C2"/>
    <w:rsid w:val="00BE2F70"/>
    <w:rsid w:val="00BE391B"/>
    <w:rsid w:val="00BE444D"/>
    <w:rsid w:val="00BE5C9D"/>
    <w:rsid w:val="00BF2714"/>
    <w:rsid w:val="00BF359A"/>
    <w:rsid w:val="00BF6DEA"/>
    <w:rsid w:val="00BF7AA2"/>
    <w:rsid w:val="00C0334C"/>
    <w:rsid w:val="00C036D1"/>
    <w:rsid w:val="00C04E66"/>
    <w:rsid w:val="00C05F6E"/>
    <w:rsid w:val="00C100BF"/>
    <w:rsid w:val="00C11B68"/>
    <w:rsid w:val="00C13AC6"/>
    <w:rsid w:val="00C13B78"/>
    <w:rsid w:val="00C148A0"/>
    <w:rsid w:val="00C25BF5"/>
    <w:rsid w:val="00C26BF5"/>
    <w:rsid w:val="00C27EC3"/>
    <w:rsid w:val="00C30191"/>
    <w:rsid w:val="00C30727"/>
    <w:rsid w:val="00C32DDE"/>
    <w:rsid w:val="00C3357F"/>
    <w:rsid w:val="00C340CF"/>
    <w:rsid w:val="00C36326"/>
    <w:rsid w:val="00C37A36"/>
    <w:rsid w:val="00C43DDD"/>
    <w:rsid w:val="00C474A1"/>
    <w:rsid w:val="00C47DA9"/>
    <w:rsid w:val="00C52CF0"/>
    <w:rsid w:val="00C53CF3"/>
    <w:rsid w:val="00C54CAA"/>
    <w:rsid w:val="00C54ED8"/>
    <w:rsid w:val="00C55F27"/>
    <w:rsid w:val="00C62784"/>
    <w:rsid w:val="00C629AE"/>
    <w:rsid w:val="00C66278"/>
    <w:rsid w:val="00C672E4"/>
    <w:rsid w:val="00C67E06"/>
    <w:rsid w:val="00C701FE"/>
    <w:rsid w:val="00C709B2"/>
    <w:rsid w:val="00C71FE4"/>
    <w:rsid w:val="00C7298A"/>
    <w:rsid w:val="00C752DF"/>
    <w:rsid w:val="00C769FF"/>
    <w:rsid w:val="00C804B6"/>
    <w:rsid w:val="00C8149B"/>
    <w:rsid w:val="00C818C5"/>
    <w:rsid w:val="00C830F7"/>
    <w:rsid w:val="00C833E1"/>
    <w:rsid w:val="00C8580C"/>
    <w:rsid w:val="00C87784"/>
    <w:rsid w:val="00C87C45"/>
    <w:rsid w:val="00C90AD9"/>
    <w:rsid w:val="00C9129B"/>
    <w:rsid w:val="00C920F1"/>
    <w:rsid w:val="00C964E5"/>
    <w:rsid w:val="00C977B4"/>
    <w:rsid w:val="00CA0343"/>
    <w:rsid w:val="00CA3398"/>
    <w:rsid w:val="00CA426C"/>
    <w:rsid w:val="00CA4982"/>
    <w:rsid w:val="00CB06D7"/>
    <w:rsid w:val="00CB0D3C"/>
    <w:rsid w:val="00CB20D3"/>
    <w:rsid w:val="00CB594D"/>
    <w:rsid w:val="00CB5C51"/>
    <w:rsid w:val="00CB6897"/>
    <w:rsid w:val="00CB691F"/>
    <w:rsid w:val="00CC0EE0"/>
    <w:rsid w:val="00CC2DB3"/>
    <w:rsid w:val="00CC303A"/>
    <w:rsid w:val="00CC5AF4"/>
    <w:rsid w:val="00CD253B"/>
    <w:rsid w:val="00CD2B80"/>
    <w:rsid w:val="00CD4556"/>
    <w:rsid w:val="00CD4D7B"/>
    <w:rsid w:val="00CD7FEE"/>
    <w:rsid w:val="00CE026C"/>
    <w:rsid w:val="00CE42D4"/>
    <w:rsid w:val="00CE67BE"/>
    <w:rsid w:val="00CE704D"/>
    <w:rsid w:val="00CF22C2"/>
    <w:rsid w:val="00CF33C7"/>
    <w:rsid w:val="00CF62DA"/>
    <w:rsid w:val="00CF6AC7"/>
    <w:rsid w:val="00D04160"/>
    <w:rsid w:val="00D05213"/>
    <w:rsid w:val="00D1142A"/>
    <w:rsid w:val="00D12BB6"/>
    <w:rsid w:val="00D14B4E"/>
    <w:rsid w:val="00D15237"/>
    <w:rsid w:val="00D170E1"/>
    <w:rsid w:val="00D202FC"/>
    <w:rsid w:val="00D2040F"/>
    <w:rsid w:val="00D20E7D"/>
    <w:rsid w:val="00D2145D"/>
    <w:rsid w:val="00D24E20"/>
    <w:rsid w:val="00D2589A"/>
    <w:rsid w:val="00D25F7B"/>
    <w:rsid w:val="00D27E7B"/>
    <w:rsid w:val="00D3079B"/>
    <w:rsid w:val="00D3187C"/>
    <w:rsid w:val="00D31EFF"/>
    <w:rsid w:val="00D36C32"/>
    <w:rsid w:val="00D37A1A"/>
    <w:rsid w:val="00D40C4B"/>
    <w:rsid w:val="00D40F49"/>
    <w:rsid w:val="00D42A9C"/>
    <w:rsid w:val="00D4316D"/>
    <w:rsid w:val="00D43CC8"/>
    <w:rsid w:val="00D46E54"/>
    <w:rsid w:val="00D50604"/>
    <w:rsid w:val="00D537D8"/>
    <w:rsid w:val="00D55E52"/>
    <w:rsid w:val="00D56729"/>
    <w:rsid w:val="00D57C6A"/>
    <w:rsid w:val="00D63F30"/>
    <w:rsid w:val="00D64339"/>
    <w:rsid w:val="00D645C7"/>
    <w:rsid w:val="00D64DB1"/>
    <w:rsid w:val="00D667DF"/>
    <w:rsid w:val="00D677E7"/>
    <w:rsid w:val="00D70899"/>
    <w:rsid w:val="00D70C48"/>
    <w:rsid w:val="00D70E43"/>
    <w:rsid w:val="00D71DBB"/>
    <w:rsid w:val="00D7229D"/>
    <w:rsid w:val="00D73890"/>
    <w:rsid w:val="00D747D2"/>
    <w:rsid w:val="00D77BDF"/>
    <w:rsid w:val="00D807C8"/>
    <w:rsid w:val="00D80D42"/>
    <w:rsid w:val="00D81FBC"/>
    <w:rsid w:val="00D82743"/>
    <w:rsid w:val="00D827DD"/>
    <w:rsid w:val="00D83EF0"/>
    <w:rsid w:val="00D85864"/>
    <w:rsid w:val="00D87635"/>
    <w:rsid w:val="00D87BE2"/>
    <w:rsid w:val="00D9030C"/>
    <w:rsid w:val="00D9221D"/>
    <w:rsid w:val="00D94492"/>
    <w:rsid w:val="00D964C3"/>
    <w:rsid w:val="00DA2DDF"/>
    <w:rsid w:val="00DA46F7"/>
    <w:rsid w:val="00DB0A9E"/>
    <w:rsid w:val="00DB4ADE"/>
    <w:rsid w:val="00DB64DD"/>
    <w:rsid w:val="00DB75E5"/>
    <w:rsid w:val="00DB761D"/>
    <w:rsid w:val="00DC09F0"/>
    <w:rsid w:val="00DC2FA8"/>
    <w:rsid w:val="00DD04A9"/>
    <w:rsid w:val="00DD0FF3"/>
    <w:rsid w:val="00DD25D3"/>
    <w:rsid w:val="00DD272F"/>
    <w:rsid w:val="00DD2DE5"/>
    <w:rsid w:val="00DD46F6"/>
    <w:rsid w:val="00DD55A2"/>
    <w:rsid w:val="00DD57D2"/>
    <w:rsid w:val="00DD762F"/>
    <w:rsid w:val="00DE0574"/>
    <w:rsid w:val="00DE1B90"/>
    <w:rsid w:val="00DE2020"/>
    <w:rsid w:val="00DE23C0"/>
    <w:rsid w:val="00DE6A33"/>
    <w:rsid w:val="00DE6B8F"/>
    <w:rsid w:val="00DF0A04"/>
    <w:rsid w:val="00DF2818"/>
    <w:rsid w:val="00DF3DCD"/>
    <w:rsid w:val="00DF7706"/>
    <w:rsid w:val="00DF7D5C"/>
    <w:rsid w:val="00E053AB"/>
    <w:rsid w:val="00E0541B"/>
    <w:rsid w:val="00E0713A"/>
    <w:rsid w:val="00E077D3"/>
    <w:rsid w:val="00E11D9C"/>
    <w:rsid w:val="00E13087"/>
    <w:rsid w:val="00E138F4"/>
    <w:rsid w:val="00E13F85"/>
    <w:rsid w:val="00E230E7"/>
    <w:rsid w:val="00E27B61"/>
    <w:rsid w:val="00E32FC2"/>
    <w:rsid w:val="00E35797"/>
    <w:rsid w:val="00E35EBB"/>
    <w:rsid w:val="00E371F9"/>
    <w:rsid w:val="00E37304"/>
    <w:rsid w:val="00E40F46"/>
    <w:rsid w:val="00E440E4"/>
    <w:rsid w:val="00E44D28"/>
    <w:rsid w:val="00E4578B"/>
    <w:rsid w:val="00E47111"/>
    <w:rsid w:val="00E47819"/>
    <w:rsid w:val="00E47C00"/>
    <w:rsid w:val="00E50C0E"/>
    <w:rsid w:val="00E51260"/>
    <w:rsid w:val="00E569E3"/>
    <w:rsid w:val="00E57CD2"/>
    <w:rsid w:val="00E62840"/>
    <w:rsid w:val="00E661CF"/>
    <w:rsid w:val="00E669AC"/>
    <w:rsid w:val="00E679DA"/>
    <w:rsid w:val="00E700AA"/>
    <w:rsid w:val="00E74BB1"/>
    <w:rsid w:val="00E74DBC"/>
    <w:rsid w:val="00E75128"/>
    <w:rsid w:val="00E774DD"/>
    <w:rsid w:val="00E80598"/>
    <w:rsid w:val="00E80673"/>
    <w:rsid w:val="00E80CFF"/>
    <w:rsid w:val="00E82819"/>
    <w:rsid w:val="00E83672"/>
    <w:rsid w:val="00E836F2"/>
    <w:rsid w:val="00E83B86"/>
    <w:rsid w:val="00E84144"/>
    <w:rsid w:val="00E843BF"/>
    <w:rsid w:val="00E8471C"/>
    <w:rsid w:val="00E914E1"/>
    <w:rsid w:val="00E92470"/>
    <w:rsid w:val="00E92A24"/>
    <w:rsid w:val="00E96223"/>
    <w:rsid w:val="00E9786B"/>
    <w:rsid w:val="00E97E17"/>
    <w:rsid w:val="00EA04C8"/>
    <w:rsid w:val="00EA4DAF"/>
    <w:rsid w:val="00EA6BF6"/>
    <w:rsid w:val="00EB17B4"/>
    <w:rsid w:val="00EB1878"/>
    <w:rsid w:val="00EB1D8E"/>
    <w:rsid w:val="00EB352C"/>
    <w:rsid w:val="00EB3B59"/>
    <w:rsid w:val="00EB6035"/>
    <w:rsid w:val="00EB6E79"/>
    <w:rsid w:val="00EB7FDB"/>
    <w:rsid w:val="00EC0CB1"/>
    <w:rsid w:val="00EC1206"/>
    <w:rsid w:val="00EC4423"/>
    <w:rsid w:val="00EC46A8"/>
    <w:rsid w:val="00EC6103"/>
    <w:rsid w:val="00ED1125"/>
    <w:rsid w:val="00ED1619"/>
    <w:rsid w:val="00ED3A23"/>
    <w:rsid w:val="00EE347D"/>
    <w:rsid w:val="00EE3571"/>
    <w:rsid w:val="00EE364E"/>
    <w:rsid w:val="00EE48A1"/>
    <w:rsid w:val="00EE7455"/>
    <w:rsid w:val="00EE7C40"/>
    <w:rsid w:val="00EF00F7"/>
    <w:rsid w:val="00EF44A1"/>
    <w:rsid w:val="00EF4644"/>
    <w:rsid w:val="00F04A92"/>
    <w:rsid w:val="00F05079"/>
    <w:rsid w:val="00F06372"/>
    <w:rsid w:val="00F06FE7"/>
    <w:rsid w:val="00F075BC"/>
    <w:rsid w:val="00F11C99"/>
    <w:rsid w:val="00F12353"/>
    <w:rsid w:val="00F1263C"/>
    <w:rsid w:val="00F13AD9"/>
    <w:rsid w:val="00F15707"/>
    <w:rsid w:val="00F1571C"/>
    <w:rsid w:val="00F16ED7"/>
    <w:rsid w:val="00F17958"/>
    <w:rsid w:val="00F20B70"/>
    <w:rsid w:val="00F214E9"/>
    <w:rsid w:val="00F2274E"/>
    <w:rsid w:val="00F24A9A"/>
    <w:rsid w:val="00F2608D"/>
    <w:rsid w:val="00F265A1"/>
    <w:rsid w:val="00F33312"/>
    <w:rsid w:val="00F37376"/>
    <w:rsid w:val="00F4092A"/>
    <w:rsid w:val="00F4092E"/>
    <w:rsid w:val="00F4167E"/>
    <w:rsid w:val="00F417ED"/>
    <w:rsid w:val="00F4440B"/>
    <w:rsid w:val="00F444CE"/>
    <w:rsid w:val="00F45890"/>
    <w:rsid w:val="00F50396"/>
    <w:rsid w:val="00F54F07"/>
    <w:rsid w:val="00F552C3"/>
    <w:rsid w:val="00F57E55"/>
    <w:rsid w:val="00F60DD2"/>
    <w:rsid w:val="00F63B9E"/>
    <w:rsid w:val="00F71820"/>
    <w:rsid w:val="00F71F3E"/>
    <w:rsid w:val="00F723A7"/>
    <w:rsid w:val="00F74845"/>
    <w:rsid w:val="00F74AEE"/>
    <w:rsid w:val="00F751BE"/>
    <w:rsid w:val="00F75529"/>
    <w:rsid w:val="00F767A2"/>
    <w:rsid w:val="00F807DA"/>
    <w:rsid w:val="00F820E6"/>
    <w:rsid w:val="00F86D18"/>
    <w:rsid w:val="00F87982"/>
    <w:rsid w:val="00F9058D"/>
    <w:rsid w:val="00F9071D"/>
    <w:rsid w:val="00F90D9C"/>
    <w:rsid w:val="00F90E85"/>
    <w:rsid w:val="00F933E5"/>
    <w:rsid w:val="00F94185"/>
    <w:rsid w:val="00F96BF5"/>
    <w:rsid w:val="00F972B4"/>
    <w:rsid w:val="00FA2621"/>
    <w:rsid w:val="00FA271C"/>
    <w:rsid w:val="00FA2D68"/>
    <w:rsid w:val="00FA3A69"/>
    <w:rsid w:val="00FA5696"/>
    <w:rsid w:val="00FA7FA9"/>
    <w:rsid w:val="00FB075E"/>
    <w:rsid w:val="00FB190D"/>
    <w:rsid w:val="00FB1D5F"/>
    <w:rsid w:val="00FB1D7D"/>
    <w:rsid w:val="00FB277A"/>
    <w:rsid w:val="00FB2FE0"/>
    <w:rsid w:val="00FB55E2"/>
    <w:rsid w:val="00FB5843"/>
    <w:rsid w:val="00FB7950"/>
    <w:rsid w:val="00FB7F40"/>
    <w:rsid w:val="00FB7FDD"/>
    <w:rsid w:val="00FC08A9"/>
    <w:rsid w:val="00FC0BD5"/>
    <w:rsid w:val="00FC0DAF"/>
    <w:rsid w:val="00FC1724"/>
    <w:rsid w:val="00FC1EF5"/>
    <w:rsid w:val="00FC21F3"/>
    <w:rsid w:val="00FC31B1"/>
    <w:rsid w:val="00FC3EDD"/>
    <w:rsid w:val="00FC40BD"/>
    <w:rsid w:val="00FD124B"/>
    <w:rsid w:val="00FD3AD6"/>
    <w:rsid w:val="00FD4BC0"/>
    <w:rsid w:val="00FD55A1"/>
    <w:rsid w:val="00FD5889"/>
    <w:rsid w:val="00FD6AB8"/>
    <w:rsid w:val="00FD6CED"/>
    <w:rsid w:val="00FD7343"/>
    <w:rsid w:val="00FD78B4"/>
    <w:rsid w:val="00FE0023"/>
    <w:rsid w:val="00FE08DD"/>
    <w:rsid w:val="00FE1212"/>
    <w:rsid w:val="00FE2642"/>
    <w:rsid w:val="00FE2F94"/>
    <w:rsid w:val="00FE430E"/>
    <w:rsid w:val="00FE6605"/>
    <w:rsid w:val="00FE708C"/>
    <w:rsid w:val="00FE7D6F"/>
    <w:rsid w:val="00FE7E90"/>
    <w:rsid w:val="00FF2265"/>
    <w:rsid w:val="00FF3292"/>
    <w:rsid w:val="00FF43F6"/>
    <w:rsid w:val="00FF4891"/>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9E958-B7B2-4549-AECD-59E91376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35"/>
  </w:style>
  <w:style w:type="paragraph" w:styleId="Heading1">
    <w:name w:val="heading 1"/>
    <w:basedOn w:val="Normal"/>
    <w:next w:val="Normal"/>
    <w:link w:val="Heading1Char"/>
    <w:uiPriority w:val="9"/>
    <w:qFormat/>
    <w:rsid w:val="00A94F8D"/>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F8D"/>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F8D"/>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4CB2"/>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4CB2"/>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4CB2"/>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4C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4C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4C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F8D"/>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A94F8D"/>
    <w:rPr>
      <w:rFonts w:asciiTheme="majorHAnsi" w:eastAsiaTheme="majorEastAsia" w:hAnsiTheme="majorHAnsi" w:cstheme="majorBidi"/>
      <w:b/>
      <w:bCs/>
      <w:color w:val="4F81BD" w:themeColor="accent1"/>
      <w:sz w:val="26"/>
      <w:szCs w:val="26"/>
      <w:lang w:val="en-ZA"/>
    </w:rPr>
  </w:style>
  <w:style w:type="paragraph" w:styleId="ListParagraph">
    <w:name w:val="List Paragraph"/>
    <w:basedOn w:val="Normal"/>
    <w:uiPriority w:val="34"/>
    <w:qFormat/>
    <w:rsid w:val="00A94F8D"/>
    <w:pPr>
      <w:ind w:left="720"/>
      <w:contextualSpacing/>
    </w:pPr>
  </w:style>
  <w:style w:type="character" w:customStyle="1" w:styleId="Heading3Char">
    <w:name w:val="Heading 3 Char"/>
    <w:basedOn w:val="DefaultParagraphFont"/>
    <w:link w:val="Heading3"/>
    <w:uiPriority w:val="9"/>
    <w:rsid w:val="00A94F8D"/>
    <w:rPr>
      <w:rFonts w:asciiTheme="majorHAnsi" w:eastAsiaTheme="majorEastAsia" w:hAnsiTheme="majorHAnsi" w:cstheme="majorBidi"/>
      <w:b/>
      <w:bCs/>
      <w:color w:val="4F81BD" w:themeColor="accent1"/>
      <w:lang w:val="en-ZA"/>
    </w:rPr>
  </w:style>
  <w:style w:type="paragraph" w:customStyle="1" w:styleId="Arial">
    <w:name w:val="Arial"/>
    <w:basedOn w:val="Normal"/>
    <w:uiPriority w:val="99"/>
    <w:rsid w:val="00AE5A57"/>
    <w:pPr>
      <w:spacing w:after="0" w:line="240" w:lineRule="auto"/>
      <w:jc w:val="both"/>
    </w:pPr>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353F34"/>
    <w:pPr>
      <w:outlineLvl w:val="9"/>
    </w:pPr>
  </w:style>
  <w:style w:type="paragraph" w:styleId="TOC1">
    <w:name w:val="toc 1"/>
    <w:basedOn w:val="Normal"/>
    <w:next w:val="Normal"/>
    <w:autoRedefine/>
    <w:uiPriority w:val="39"/>
    <w:unhideWhenUsed/>
    <w:qFormat/>
    <w:rsid w:val="00353F34"/>
    <w:pPr>
      <w:spacing w:before="120" w:after="120"/>
    </w:pPr>
    <w:rPr>
      <w:b/>
      <w:bCs/>
      <w:caps/>
      <w:sz w:val="20"/>
      <w:szCs w:val="20"/>
    </w:rPr>
  </w:style>
  <w:style w:type="paragraph" w:styleId="TOC2">
    <w:name w:val="toc 2"/>
    <w:basedOn w:val="Normal"/>
    <w:next w:val="Normal"/>
    <w:autoRedefine/>
    <w:uiPriority w:val="39"/>
    <w:unhideWhenUsed/>
    <w:qFormat/>
    <w:rsid w:val="00353F34"/>
    <w:pPr>
      <w:spacing w:after="0"/>
      <w:ind w:left="220"/>
    </w:pPr>
    <w:rPr>
      <w:smallCaps/>
      <w:sz w:val="20"/>
      <w:szCs w:val="20"/>
    </w:rPr>
  </w:style>
  <w:style w:type="character" w:styleId="Hyperlink">
    <w:name w:val="Hyperlink"/>
    <w:basedOn w:val="DefaultParagraphFont"/>
    <w:uiPriority w:val="99"/>
    <w:unhideWhenUsed/>
    <w:rsid w:val="00353F34"/>
    <w:rPr>
      <w:color w:val="0000FF" w:themeColor="hyperlink"/>
      <w:u w:val="single"/>
    </w:rPr>
  </w:style>
  <w:style w:type="paragraph" w:styleId="BalloonText">
    <w:name w:val="Balloon Text"/>
    <w:basedOn w:val="Normal"/>
    <w:link w:val="BalloonTextChar"/>
    <w:uiPriority w:val="99"/>
    <w:semiHidden/>
    <w:unhideWhenUsed/>
    <w:rsid w:val="00353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34"/>
    <w:rPr>
      <w:rFonts w:ascii="Tahoma" w:hAnsi="Tahoma" w:cs="Tahoma"/>
      <w:sz w:val="16"/>
      <w:szCs w:val="16"/>
    </w:rPr>
  </w:style>
  <w:style w:type="paragraph" w:customStyle="1" w:styleId="Paragraph">
    <w:name w:val="Paragraph"/>
    <w:basedOn w:val="Normal"/>
    <w:rsid w:val="00BB46D6"/>
    <w:pPr>
      <w:tabs>
        <w:tab w:val="left" w:pos="284"/>
        <w:tab w:val="left" w:pos="567"/>
        <w:tab w:val="left" w:pos="851"/>
      </w:tabs>
      <w:spacing w:after="160" w:line="260" w:lineRule="atLeast"/>
      <w:jc w:val="both"/>
    </w:pPr>
    <w:rPr>
      <w:rFonts w:ascii="Times New Roman" w:eastAsia="Times New Roman" w:hAnsi="Times New Roman" w:cs="Times New Roman"/>
      <w:szCs w:val="20"/>
      <w:lang w:val="en-GB"/>
    </w:rPr>
  </w:style>
  <w:style w:type="paragraph" w:customStyle="1" w:styleId="FinalBullet">
    <w:name w:val="Final Bullet"/>
    <w:basedOn w:val="ListBullet"/>
    <w:rsid w:val="00BB46D6"/>
    <w:pPr>
      <w:tabs>
        <w:tab w:val="left" w:pos="357"/>
      </w:tabs>
      <w:spacing w:after="160"/>
    </w:pPr>
    <w:rPr>
      <w:szCs w:val="20"/>
      <w:lang w:val="en-GB"/>
    </w:rPr>
  </w:style>
  <w:style w:type="paragraph" w:styleId="ListBullet">
    <w:name w:val="List Bullet"/>
    <w:basedOn w:val="Normal"/>
    <w:autoRedefine/>
    <w:rsid w:val="002152F6"/>
    <w:pPr>
      <w:spacing w:after="0" w:line="240" w:lineRule="auto"/>
      <w:ind w:left="720" w:hanging="720"/>
      <w:jc w:val="both"/>
    </w:pPr>
    <w:rPr>
      <w:rFonts w:ascii="Times New Roman" w:eastAsia="Times New Roman" w:hAnsi="Times New Roman" w:cs="Times New Roman"/>
      <w:szCs w:val="24"/>
    </w:rPr>
  </w:style>
  <w:style w:type="paragraph" w:styleId="BodyTextIndent">
    <w:name w:val="Body Text Indent"/>
    <w:basedOn w:val="Normal"/>
    <w:link w:val="BodyTextIndentChar"/>
    <w:rsid w:val="00AC057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C0578"/>
    <w:rPr>
      <w:rFonts w:ascii="Times New Roman" w:eastAsia="Times New Roman" w:hAnsi="Times New Roman" w:cs="Times New Roman"/>
      <w:sz w:val="24"/>
      <w:szCs w:val="24"/>
      <w:lang w:val="en-ZA"/>
    </w:rPr>
  </w:style>
  <w:style w:type="paragraph" w:styleId="NormalWeb">
    <w:name w:val="Normal (Web)"/>
    <w:basedOn w:val="Normal"/>
    <w:uiPriority w:val="99"/>
    <w:rsid w:val="00AC0578"/>
    <w:pPr>
      <w:spacing w:before="100" w:beforeAutospacing="1" w:after="100" w:afterAutospacing="1" w:line="240" w:lineRule="auto"/>
    </w:pPr>
    <w:rPr>
      <w:rFonts w:ascii="Helvetica" w:eastAsia="Times New Roman" w:hAnsi="Helvetica" w:cs="Times New Roman"/>
      <w:color w:val="FFFFCC"/>
      <w:sz w:val="20"/>
      <w:szCs w:val="20"/>
    </w:rPr>
  </w:style>
  <w:style w:type="paragraph" w:styleId="FootnoteText">
    <w:name w:val="footnote text"/>
    <w:basedOn w:val="Normal"/>
    <w:link w:val="FootnoteTextChar"/>
    <w:rsid w:val="00AC05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C05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C0578"/>
    <w:rPr>
      <w:vertAlign w:val="superscript"/>
    </w:rPr>
  </w:style>
  <w:style w:type="paragraph" w:styleId="Header">
    <w:name w:val="header"/>
    <w:basedOn w:val="Normal"/>
    <w:link w:val="HeaderChar"/>
    <w:uiPriority w:val="99"/>
    <w:unhideWhenUsed/>
    <w:rsid w:val="00776217"/>
    <w:pPr>
      <w:tabs>
        <w:tab w:val="center" w:pos="4680"/>
        <w:tab w:val="right" w:pos="9360"/>
      </w:tabs>
      <w:spacing w:after="0" w:line="240" w:lineRule="auto"/>
    </w:pPr>
    <w:rPr>
      <w:u w:val="single"/>
    </w:rPr>
  </w:style>
  <w:style w:type="character" w:customStyle="1" w:styleId="HeaderChar">
    <w:name w:val="Header Char"/>
    <w:basedOn w:val="DefaultParagraphFont"/>
    <w:link w:val="Header"/>
    <w:uiPriority w:val="99"/>
    <w:rsid w:val="00776217"/>
    <w:rPr>
      <w:u w:val="single"/>
    </w:rPr>
  </w:style>
  <w:style w:type="paragraph" w:styleId="Footer">
    <w:name w:val="footer"/>
    <w:basedOn w:val="Normal"/>
    <w:link w:val="FooterChar"/>
    <w:uiPriority w:val="99"/>
    <w:unhideWhenUsed/>
    <w:rsid w:val="0024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9D"/>
  </w:style>
  <w:style w:type="paragraph" w:styleId="BodyText">
    <w:name w:val="Body Text"/>
    <w:basedOn w:val="Normal"/>
    <w:link w:val="BodyTextChar"/>
    <w:uiPriority w:val="99"/>
    <w:unhideWhenUsed/>
    <w:rsid w:val="00653A3E"/>
    <w:pPr>
      <w:spacing w:after="120"/>
    </w:pPr>
  </w:style>
  <w:style w:type="character" w:customStyle="1" w:styleId="BodyTextChar">
    <w:name w:val="Body Text Char"/>
    <w:basedOn w:val="DefaultParagraphFont"/>
    <w:link w:val="BodyText"/>
    <w:uiPriority w:val="99"/>
    <w:rsid w:val="00653A3E"/>
  </w:style>
  <w:style w:type="paragraph" w:styleId="Subtitle">
    <w:name w:val="Subtitle"/>
    <w:basedOn w:val="Title"/>
    <w:next w:val="BodyText"/>
    <w:link w:val="SubtitleChar"/>
    <w:qFormat/>
    <w:rsid w:val="00653A3E"/>
    <w:pPr>
      <w:keepNext/>
      <w:keepLines/>
      <w:pBdr>
        <w:bottom w:val="none" w:sz="0" w:space="0" w:color="auto"/>
      </w:pBdr>
      <w:suppressAutoHyphens/>
      <w:spacing w:before="60" w:after="120" w:line="340" w:lineRule="atLeast"/>
      <w:contextualSpacing w:val="0"/>
      <w:jc w:val="both"/>
    </w:pPr>
    <w:rPr>
      <w:rFonts w:ascii="Arial" w:eastAsia="Times New Roman" w:hAnsi="Arial" w:cs="Arial"/>
      <w:color w:val="auto"/>
      <w:spacing w:val="-16"/>
      <w:kern w:val="1"/>
      <w:sz w:val="32"/>
      <w:szCs w:val="32"/>
      <w:lang w:val="en-GB" w:eastAsia="ar-SA"/>
    </w:rPr>
  </w:style>
  <w:style w:type="character" w:customStyle="1" w:styleId="SubtitleChar">
    <w:name w:val="Subtitle Char"/>
    <w:basedOn w:val="DefaultParagraphFont"/>
    <w:link w:val="Subtitle"/>
    <w:rsid w:val="00653A3E"/>
    <w:rPr>
      <w:rFonts w:ascii="Arial" w:eastAsia="Times New Roman" w:hAnsi="Arial" w:cs="Arial"/>
      <w:spacing w:val="-16"/>
      <w:kern w:val="1"/>
      <w:sz w:val="32"/>
      <w:szCs w:val="32"/>
      <w:lang w:val="en-GB" w:eastAsia="ar-SA"/>
    </w:rPr>
  </w:style>
  <w:style w:type="paragraph" w:customStyle="1" w:styleId="TitleCover">
    <w:name w:val="Title Cover"/>
    <w:basedOn w:val="Normal"/>
    <w:next w:val="Normal"/>
    <w:rsid w:val="00653A3E"/>
    <w:pPr>
      <w:keepNext/>
      <w:keepLines/>
      <w:pBdr>
        <w:top w:val="single" w:sz="40" w:space="31" w:color="000000"/>
      </w:pBdr>
      <w:tabs>
        <w:tab w:val="left" w:pos="-1680"/>
      </w:tabs>
      <w:suppressAutoHyphens/>
      <w:spacing w:before="240" w:after="500" w:line="640" w:lineRule="exact"/>
      <w:ind w:left="-840" w:right="-840"/>
      <w:jc w:val="both"/>
    </w:pPr>
    <w:rPr>
      <w:rFonts w:ascii="Arial Black" w:eastAsia="Times New Roman" w:hAnsi="Arial Black" w:cs="Arial Black"/>
      <w:b/>
      <w:bCs/>
      <w:spacing w:val="-48"/>
      <w:kern w:val="1"/>
      <w:sz w:val="64"/>
      <w:szCs w:val="64"/>
      <w:lang w:val="en-GB" w:eastAsia="ar-SA"/>
    </w:rPr>
  </w:style>
  <w:style w:type="paragraph" w:customStyle="1" w:styleId="SubtitleCover">
    <w:name w:val="Subtitle Cover"/>
    <w:basedOn w:val="TitleCover"/>
    <w:next w:val="BodyText"/>
    <w:rsid w:val="00653A3E"/>
    <w:pPr>
      <w:pBdr>
        <w:top w:val="single" w:sz="4" w:space="6" w:color="000000"/>
      </w:pBdr>
      <w:spacing w:before="0" w:after="0" w:line="360" w:lineRule="atLeast"/>
      <w:ind w:left="0" w:right="0"/>
    </w:pPr>
    <w:rPr>
      <w:rFonts w:ascii="Arial" w:hAnsi="Arial" w:cs="Arial"/>
      <w:spacing w:val="-30"/>
      <w:sz w:val="36"/>
      <w:szCs w:val="36"/>
    </w:rPr>
  </w:style>
  <w:style w:type="paragraph" w:styleId="Title">
    <w:name w:val="Title"/>
    <w:basedOn w:val="Normal"/>
    <w:next w:val="Normal"/>
    <w:link w:val="TitleChar"/>
    <w:uiPriority w:val="10"/>
    <w:qFormat/>
    <w:rsid w:val="00653A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A3E"/>
    <w:rPr>
      <w:rFonts w:asciiTheme="majorHAnsi" w:eastAsiaTheme="majorEastAsia" w:hAnsiTheme="majorHAnsi" w:cstheme="majorBidi"/>
      <w:color w:val="17365D" w:themeColor="text2" w:themeShade="BF"/>
      <w:spacing w:val="5"/>
      <w:kern w:val="28"/>
      <w:sz w:val="52"/>
      <w:szCs w:val="52"/>
    </w:rPr>
  </w:style>
  <w:style w:type="character" w:customStyle="1" w:styleId="FootnoteCharacters">
    <w:name w:val="Footnote Characters"/>
    <w:rsid w:val="00470B8A"/>
    <w:rPr>
      <w:rFonts w:cs="Times New Roman"/>
      <w:vertAlign w:val="superscript"/>
    </w:rPr>
  </w:style>
  <w:style w:type="character" w:styleId="PageNumber">
    <w:name w:val="page number"/>
    <w:uiPriority w:val="99"/>
    <w:rsid w:val="00776217"/>
    <w:rPr>
      <w:rFonts w:ascii="Arial Black" w:hAnsi="Arial Black" w:cs="Arial Black"/>
      <w:spacing w:val="-10"/>
      <w:sz w:val="18"/>
      <w:szCs w:val="18"/>
    </w:rPr>
  </w:style>
  <w:style w:type="paragraph" w:customStyle="1" w:styleId="1AutoList1">
    <w:name w:val="1AutoList1"/>
    <w:rsid w:val="00895C5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TOC3">
    <w:name w:val="toc 3"/>
    <w:basedOn w:val="Normal"/>
    <w:next w:val="Normal"/>
    <w:autoRedefine/>
    <w:uiPriority w:val="39"/>
    <w:unhideWhenUsed/>
    <w:qFormat/>
    <w:rsid w:val="00287A64"/>
    <w:pPr>
      <w:tabs>
        <w:tab w:val="right" w:leader="dot" w:pos="9350"/>
      </w:tabs>
      <w:spacing w:after="0"/>
      <w:ind w:left="440"/>
    </w:pPr>
    <w:rPr>
      <w:rFonts w:ascii="Arial" w:hAnsi="Arial" w:cs="Arial"/>
      <w:i/>
      <w:iCs/>
      <w:sz w:val="20"/>
      <w:szCs w:val="20"/>
    </w:rPr>
  </w:style>
  <w:style w:type="paragraph" w:styleId="TOC4">
    <w:name w:val="toc 4"/>
    <w:basedOn w:val="Normal"/>
    <w:next w:val="Normal"/>
    <w:autoRedefine/>
    <w:uiPriority w:val="39"/>
    <w:unhideWhenUsed/>
    <w:rsid w:val="008D6BA7"/>
    <w:pPr>
      <w:spacing w:after="0"/>
      <w:ind w:left="660"/>
    </w:pPr>
    <w:rPr>
      <w:sz w:val="18"/>
      <w:szCs w:val="18"/>
    </w:rPr>
  </w:style>
  <w:style w:type="paragraph" w:styleId="TOC5">
    <w:name w:val="toc 5"/>
    <w:basedOn w:val="Normal"/>
    <w:next w:val="Normal"/>
    <w:autoRedefine/>
    <w:uiPriority w:val="39"/>
    <w:unhideWhenUsed/>
    <w:rsid w:val="008D6BA7"/>
    <w:pPr>
      <w:spacing w:after="0"/>
      <w:ind w:left="880"/>
    </w:pPr>
    <w:rPr>
      <w:sz w:val="18"/>
      <w:szCs w:val="18"/>
    </w:rPr>
  </w:style>
  <w:style w:type="paragraph" w:styleId="TOC6">
    <w:name w:val="toc 6"/>
    <w:basedOn w:val="Normal"/>
    <w:next w:val="Normal"/>
    <w:autoRedefine/>
    <w:uiPriority w:val="39"/>
    <w:unhideWhenUsed/>
    <w:rsid w:val="008D6BA7"/>
    <w:pPr>
      <w:spacing w:after="0"/>
      <w:ind w:left="1100"/>
    </w:pPr>
    <w:rPr>
      <w:sz w:val="18"/>
      <w:szCs w:val="18"/>
    </w:rPr>
  </w:style>
  <w:style w:type="paragraph" w:styleId="TOC7">
    <w:name w:val="toc 7"/>
    <w:basedOn w:val="Normal"/>
    <w:next w:val="Normal"/>
    <w:autoRedefine/>
    <w:uiPriority w:val="39"/>
    <w:unhideWhenUsed/>
    <w:rsid w:val="008D6BA7"/>
    <w:pPr>
      <w:spacing w:after="0"/>
      <w:ind w:left="1320"/>
    </w:pPr>
    <w:rPr>
      <w:sz w:val="18"/>
      <w:szCs w:val="18"/>
    </w:rPr>
  </w:style>
  <w:style w:type="paragraph" w:styleId="TOC8">
    <w:name w:val="toc 8"/>
    <w:basedOn w:val="Normal"/>
    <w:next w:val="Normal"/>
    <w:autoRedefine/>
    <w:uiPriority w:val="39"/>
    <w:unhideWhenUsed/>
    <w:rsid w:val="008D6BA7"/>
    <w:pPr>
      <w:spacing w:after="0"/>
      <w:ind w:left="1540"/>
    </w:pPr>
    <w:rPr>
      <w:sz w:val="18"/>
      <w:szCs w:val="18"/>
    </w:rPr>
  </w:style>
  <w:style w:type="paragraph" w:styleId="TOC9">
    <w:name w:val="toc 9"/>
    <w:basedOn w:val="Normal"/>
    <w:next w:val="Normal"/>
    <w:autoRedefine/>
    <w:uiPriority w:val="39"/>
    <w:unhideWhenUsed/>
    <w:rsid w:val="008D6BA7"/>
    <w:pPr>
      <w:spacing w:after="0"/>
      <w:ind w:left="1760"/>
    </w:pPr>
    <w:rPr>
      <w:sz w:val="18"/>
      <w:szCs w:val="18"/>
    </w:rPr>
  </w:style>
  <w:style w:type="character" w:customStyle="1" w:styleId="Heading4Char">
    <w:name w:val="Heading 4 Char"/>
    <w:basedOn w:val="DefaultParagraphFont"/>
    <w:link w:val="Heading4"/>
    <w:uiPriority w:val="9"/>
    <w:rsid w:val="001A4CB2"/>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1A4CB2"/>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1A4CB2"/>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1A4CB2"/>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1A4CB2"/>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1A4CB2"/>
    <w:rPr>
      <w:rFonts w:asciiTheme="majorHAnsi" w:eastAsiaTheme="majorEastAsia" w:hAnsiTheme="majorHAnsi" w:cstheme="majorBidi"/>
      <w:i/>
      <w:iCs/>
      <w:color w:val="404040" w:themeColor="text1" w:themeTint="BF"/>
      <w:sz w:val="20"/>
      <w:szCs w:val="20"/>
      <w:lang w:val="en-ZA"/>
    </w:rPr>
  </w:style>
  <w:style w:type="paragraph" w:styleId="Caption">
    <w:name w:val="caption"/>
    <w:basedOn w:val="Normal"/>
    <w:next w:val="Normal"/>
    <w:uiPriority w:val="35"/>
    <w:unhideWhenUsed/>
    <w:qFormat/>
    <w:rsid w:val="001A5BA6"/>
    <w:pPr>
      <w:spacing w:line="240" w:lineRule="auto"/>
    </w:pPr>
    <w:rPr>
      <w:rFonts w:ascii="Arial" w:hAnsi="Arial"/>
      <w:b/>
      <w:bCs/>
      <w:szCs w:val="18"/>
    </w:rPr>
  </w:style>
  <w:style w:type="character" w:styleId="CommentReference">
    <w:name w:val="annotation reference"/>
    <w:basedOn w:val="DefaultParagraphFont"/>
    <w:uiPriority w:val="99"/>
    <w:semiHidden/>
    <w:unhideWhenUsed/>
    <w:rsid w:val="00825721"/>
    <w:rPr>
      <w:sz w:val="16"/>
      <w:szCs w:val="16"/>
    </w:rPr>
  </w:style>
  <w:style w:type="paragraph" w:styleId="CommentText">
    <w:name w:val="annotation text"/>
    <w:basedOn w:val="Normal"/>
    <w:link w:val="CommentTextChar"/>
    <w:uiPriority w:val="99"/>
    <w:semiHidden/>
    <w:unhideWhenUsed/>
    <w:rsid w:val="00825721"/>
    <w:pPr>
      <w:spacing w:line="240" w:lineRule="auto"/>
    </w:pPr>
    <w:rPr>
      <w:sz w:val="20"/>
      <w:szCs w:val="20"/>
    </w:rPr>
  </w:style>
  <w:style w:type="character" w:customStyle="1" w:styleId="CommentTextChar">
    <w:name w:val="Comment Text Char"/>
    <w:basedOn w:val="DefaultParagraphFont"/>
    <w:link w:val="CommentText"/>
    <w:uiPriority w:val="99"/>
    <w:semiHidden/>
    <w:rsid w:val="00825721"/>
    <w:rPr>
      <w:sz w:val="20"/>
      <w:szCs w:val="20"/>
    </w:rPr>
  </w:style>
  <w:style w:type="paragraph" w:styleId="CommentSubject">
    <w:name w:val="annotation subject"/>
    <w:basedOn w:val="CommentText"/>
    <w:next w:val="CommentText"/>
    <w:link w:val="CommentSubjectChar"/>
    <w:uiPriority w:val="99"/>
    <w:semiHidden/>
    <w:unhideWhenUsed/>
    <w:rsid w:val="00825721"/>
    <w:rPr>
      <w:b/>
      <w:bCs/>
    </w:rPr>
  </w:style>
  <w:style w:type="character" w:customStyle="1" w:styleId="CommentSubjectChar">
    <w:name w:val="Comment Subject Char"/>
    <w:basedOn w:val="CommentTextChar"/>
    <w:link w:val="CommentSubject"/>
    <w:uiPriority w:val="99"/>
    <w:semiHidden/>
    <w:rsid w:val="00825721"/>
    <w:rPr>
      <w:b/>
      <w:bCs/>
      <w:sz w:val="20"/>
      <w:szCs w:val="20"/>
    </w:rPr>
  </w:style>
  <w:style w:type="paragraph" w:styleId="TableofFigures">
    <w:name w:val="table of figures"/>
    <w:basedOn w:val="Normal"/>
    <w:next w:val="Normal"/>
    <w:uiPriority w:val="99"/>
    <w:unhideWhenUsed/>
    <w:rsid w:val="003E133E"/>
    <w:pPr>
      <w:spacing w:after="0"/>
    </w:pPr>
  </w:style>
  <w:style w:type="paragraph" w:customStyle="1" w:styleId="Default">
    <w:name w:val="Default"/>
    <w:rsid w:val="00FA7FA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2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0194E"/>
  </w:style>
  <w:style w:type="table" w:customStyle="1" w:styleId="TableGrid1">
    <w:name w:val="Table Grid1"/>
    <w:basedOn w:val="TableNormal"/>
    <w:next w:val="TableGrid"/>
    <w:uiPriority w:val="59"/>
    <w:rsid w:val="002019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6858">
      <w:bodyDiv w:val="1"/>
      <w:marLeft w:val="0"/>
      <w:marRight w:val="0"/>
      <w:marTop w:val="0"/>
      <w:marBottom w:val="0"/>
      <w:divBdr>
        <w:top w:val="none" w:sz="0" w:space="0" w:color="auto"/>
        <w:left w:val="none" w:sz="0" w:space="0" w:color="auto"/>
        <w:bottom w:val="none" w:sz="0" w:space="0" w:color="auto"/>
        <w:right w:val="none" w:sz="0" w:space="0" w:color="auto"/>
      </w:divBdr>
    </w:div>
    <w:div w:id="234098346">
      <w:bodyDiv w:val="1"/>
      <w:marLeft w:val="0"/>
      <w:marRight w:val="0"/>
      <w:marTop w:val="0"/>
      <w:marBottom w:val="0"/>
      <w:divBdr>
        <w:top w:val="none" w:sz="0" w:space="0" w:color="auto"/>
        <w:left w:val="none" w:sz="0" w:space="0" w:color="auto"/>
        <w:bottom w:val="none" w:sz="0" w:space="0" w:color="auto"/>
        <w:right w:val="none" w:sz="0" w:space="0" w:color="auto"/>
      </w:divBdr>
    </w:div>
    <w:div w:id="282810137">
      <w:bodyDiv w:val="1"/>
      <w:marLeft w:val="0"/>
      <w:marRight w:val="0"/>
      <w:marTop w:val="0"/>
      <w:marBottom w:val="0"/>
      <w:divBdr>
        <w:top w:val="none" w:sz="0" w:space="0" w:color="auto"/>
        <w:left w:val="none" w:sz="0" w:space="0" w:color="auto"/>
        <w:bottom w:val="none" w:sz="0" w:space="0" w:color="auto"/>
        <w:right w:val="none" w:sz="0" w:space="0" w:color="auto"/>
      </w:divBdr>
    </w:div>
    <w:div w:id="292488482">
      <w:bodyDiv w:val="1"/>
      <w:marLeft w:val="0"/>
      <w:marRight w:val="0"/>
      <w:marTop w:val="0"/>
      <w:marBottom w:val="0"/>
      <w:divBdr>
        <w:top w:val="none" w:sz="0" w:space="0" w:color="auto"/>
        <w:left w:val="none" w:sz="0" w:space="0" w:color="auto"/>
        <w:bottom w:val="none" w:sz="0" w:space="0" w:color="auto"/>
        <w:right w:val="none" w:sz="0" w:space="0" w:color="auto"/>
      </w:divBdr>
    </w:div>
    <w:div w:id="375933294">
      <w:bodyDiv w:val="1"/>
      <w:marLeft w:val="0"/>
      <w:marRight w:val="0"/>
      <w:marTop w:val="0"/>
      <w:marBottom w:val="0"/>
      <w:divBdr>
        <w:top w:val="none" w:sz="0" w:space="0" w:color="auto"/>
        <w:left w:val="none" w:sz="0" w:space="0" w:color="auto"/>
        <w:bottom w:val="none" w:sz="0" w:space="0" w:color="auto"/>
        <w:right w:val="none" w:sz="0" w:space="0" w:color="auto"/>
      </w:divBdr>
    </w:div>
    <w:div w:id="410011945">
      <w:bodyDiv w:val="1"/>
      <w:marLeft w:val="0"/>
      <w:marRight w:val="0"/>
      <w:marTop w:val="0"/>
      <w:marBottom w:val="0"/>
      <w:divBdr>
        <w:top w:val="none" w:sz="0" w:space="0" w:color="auto"/>
        <w:left w:val="none" w:sz="0" w:space="0" w:color="auto"/>
        <w:bottom w:val="none" w:sz="0" w:space="0" w:color="auto"/>
        <w:right w:val="none" w:sz="0" w:space="0" w:color="auto"/>
      </w:divBdr>
    </w:div>
    <w:div w:id="497963201">
      <w:bodyDiv w:val="1"/>
      <w:marLeft w:val="0"/>
      <w:marRight w:val="0"/>
      <w:marTop w:val="0"/>
      <w:marBottom w:val="0"/>
      <w:divBdr>
        <w:top w:val="none" w:sz="0" w:space="0" w:color="auto"/>
        <w:left w:val="none" w:sz="0" w:space="0" w:color="auto"/>
        <w:bottom w:val="none" w:sz="0" w:space="0" w:color="auto"/>
        <w:right w:val="none" w:sz="0" w:space="0" w:color="auto"/>
      </w:divBdr>
    </w:div>
    <w:div w:id="768963797">
      <w:bodyDiv w:val="1"/>
      <w:marLeft w:val="0"/>
      <w:marRight w:val="0"/>
      <w:marTop w:val="0"/>
      <w:marBottom w:val="0"/>
      <w:divBdr>
        <w:top w:val="none" w:sz="0" w:space="0" w:color="auto"/>
        <w:left w:val="none" w:sz="0" w:space="0" w:color="auto"/>
        <w:bottom w:val="none" w:sz="0" w:space="0" w:color="auto"/>
        <w:right w:val="none" w:sz="0" w:space="0" w:color="auto"/>
      </w:divBdr>
    </w:div>
    <w:div w:id="775710056">
      <w:bodyDiv w:val="1"/>
      <w:marLeft w:val="0"/>
      <w:marRight w:val="0"/>
      <w:marTop w:val="0"/>
      <w:marBottom w:val="0"/>
      <w:divBdr>
        <w:top w:val="none" w:sz="0" w:space="0" w:color="auto"/>
        <w:left w:val="none" w:sz="0" w:space="0" w:color="auto"/>
        <w:bottom w:val="none" w:sz="0" w:space="0" w:color="auto"/>
        <w:right w:val="none" w:sz="0" w:space="0" w:color="auto"/>
      </w:divBdr>
    </w:div>
    <w:div w:id="796415013">
      <w:bodyDiv w:val="1"/>
      <w:marLeft w:val="0"/>
      <w:marRight w:val="0"/>
      <w:marTop w:val="0"/>
      <w:marBottom w:val="0"/>
      <w:divBdr>
        <w:top w:val="none" w:sz="0" w:space="0" w:color="auto"/>
        <w:left w:val="none" w:sz="0" w:space="0" w:color="auto"/>
        <w:bottom w:val="none" w:sz="0" w:space="0" w:color="auto"/>
        <w:right w:val="none" w:sz="0" w:space="0" w:color="auto"/>
      </w:divBdr>
    </w:div>
    <w:div w:id="810756855">
      <w:bodyDiv w:val="1"/>
      <w:marLeft w:val="0"/>
      <w:marRight w:val="0"/>
      <w:marTop w:val="0"/>
      <w:marBottom w:val="0"/>
      <w:divBdr>
        <w:top w:val="none" w:sz="0" w:space="0" w:color="auto"/>
        <w:left w:val="none" w:sz="0" w:space="0" w:color="auto"/>
        <w:bottom w:val="none" w:sz="0" w:space="0" w:color="auto"/>
        <w:right w:val="none" w:sz="0" w:space="0" w:color="auto"/>
      </w:divBdr>
    </w:div>
    <w:div w:id="824592684">
      <w:bodyDiv w:val="1"/>
      <w:marLeft w:val="0"/>
      <w:marRight w:val="0"/>
      <w:marTop w:val="0"/>
      <w:marBottom w:val="0"/>
      <w:divBdr>
        <w:top w:val="none" w:sz="0" w:space="0" w:color="auto"/>
        <w:left w:val="none" w:sz="0" w:space="0" w:color="auto"/>
        <w:bottom w:val="none" w:sz="0" w:space="0" w:color="auto"/>
        <w:right w:val="none" w:sz="0" w:space="0" w:color="auto"/>
      </w:divBdr>
    </w:div>
    <w:div w:id="892272927">
      <w:bodyDiv w:val="1"/>
      <w:marLeft w:val="0"/>
      <w:marRight w:val="0"/>
      <w:marTop w:val="0"/>
      <w:marBottom w:val="0"/>
      <w:divBdr>
        <w:top w:val="none" w:sz="0" w:space="0" w:color="auto"/>
        <w:left w:val="none" w:sz="0" w:space="0" w:color="auto"/>
        <w:bottom w:val="none" w:sz="0" w:space="0" w:color="auto"/>
        <w:right w:val="none" w:sz="0" w:space="0" w:color="auto"/>
      </w:divBdr>
    </w:div>
    <w:div w:id="927075453">
      <w:bodyDiv w:val="1"/>
      <w:marLeft w:val="0"/>
      <w:marRight w:val="0"/>
      <w:marTop w:val="0"/>
      <w:marBottom w:val="0"/>
      <w:divBdr>
        <w:top w:val="none" w:sz="0" w:space="0" w:color="auto"/>
        <w:left w:val="none" w:sz="0" w:space="0" w:color="auto"/>
        <w:bottom w:val="none" w:sz="0" w:space="0" w:color="auto"/>
        <w:right w:val="none" w:sz="0" w:space="0" w:color="auto"/>
      </w:divBdr>
    </w:div>
    <w:div w:id="1047529352">
      <w:bodyDiv w:val="1"/>
      <w:marLeft w:val="0"/>
      <w:marRight w:val="0"/>
      <w:marTop w:val="0"/>
      <w:marBottom w:val="0"/>
      <w:divBdr>
        <w:top w:val="none" w:sz="0" w:space="0" w:color="auto"/>
        <w:left w:val="none" w:sz="0" w:space="0" w:color="auto"/>
        <w:bottom w:val="none" w:sz="0" w:space="0" w:color="auto"/>
        <w:right w:val="none" w:sz="0" w:space="0" w:color="auto"/>
      </w:divBdr>
    </w:div>
    <w:div w:id="1052195730">
      <w:bodyDiv w:val="1"/>
      <w:marLeft w:val="0"/>
      <w:marRight w:val="0"/>
      <w:marTop w:val="0"/>
      <w:marBottom w:val="0"/>
      <w:divBdr>
        <w:top w:val="none" w:sz="0" w:space="0" w:color="auto"/>
        <w:left w:val="none" w:sz="0" w:space="0" w:color="auto"/>
        <w:bottom w:val="none" w:sz="0" w:space="0" w:color="auto"/>
        <w:right w:val="none" w:sz="0" w:space="0" w:color="auto"/>
      </w:divBdr>
    </w:div>
    <w:div w:id="1187984757">
      <w:bodyDiv w:val="1"/>
      <w:marLeft w:val="0"/>
      <w:marRight w:val="0"/>
      <w:marTop w:val="0"/>
      <w:marBottom w:val="0"/>
      <w:divBdr>
        <w:top w:val="none" w:sz="0" w:space="0" w:color="auto"/>
        <w:left w:val="none" w:sz="0" w:space="0" w:color="auto"/>
        <w:bottom w:val="none" w:sz="0" w:space="0" w:color="auto"/>
        <w:right w:val="none" w:sz="0" w:space="0" w:color="auto"/>
      </w:divBdr>
    </w:div>
    <w:div w:id="1298603718">
      <w:bodyDiv w:val="1"/>
      <w:marLeft w:val="0"/>
      <w:marRight w:val="0"/>
      <w:marTop w:val="0"/>
      <w:marBottom w:val="0"/>
      <w:divBdr>
        <w:top w:val="none" w:sz="0" w:space="0" w:color="auto"/>
        <w:left w:val="none" w:sz="0" w:space="0" w:color="auto"/>
        <w:bottom w:val="none" w:sz="0" w:space="0" w:color="auto"/>
        <w:right w:val="none" w:sz="0" w:space="0" w:color="auto"/>
      </w:divBdr>
    </w:div>
    <w:div w:id="1320427702">
      <w:bodyDiv w:val="1"/>
      <w:marLeft w:val="0"/>
      <w:marRight w:val="0"/>
      <w:marTop w:val="0"/>
      <w:marBottom w:val="0"/>
      <w:divBdr>
        <w:top w:val="none" w:sz="0" w:space="0" w:color="auto"/>
        <w:left w:val="none" w:sz="0" w:space="0" w:color="auto"/>
        <w:bottom w:val="none" w:sz="0" w:space="0" w:color="auto"/>
        <w:right w:val="none" w:sz="0" w:space="0" w:color="auto"/>
      </w:divBdr>
      <w:divsChild>
        <w:div w:id="1457867997">
          <w:marLeft w:val="0"/>
          <w:marRight w:val="0"/>
          <w:marTop w:val="0"/>
          <w:marBottom w:val="0"/>
          <w:divBdr>
            <w:top w:val="none" w:sz="0" w:space="0" w:color="auto"/>
            <w:left w:val="none" w:sz="0" w:space="0" w:color="auto"/>
            <w:bottom w:val="none" w:sz="0" w:space="0" w:color="auto"/>
            <w:right w:val="none" w:sz="0" w:space="0" w:color="auto"/>
          </w:divBdr>
          <w:divsChild>
            <w:div w:id="9463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108">
      <w:bodyDiv w:val="1"/>
      <w:marLeft w:val="0"/>
      <w:marRight w:val="0"/>
      <w:marTop w:val="0"/>
      <w:marBottom w:val="0"/>
      <w:divBdr>
        <w:top w:val="none" w:sz="0" w:space="0" w:color="auto"/>
        <w:left w:val="none" w:sz="0" w:space="0" w:color="auto"/>
        <w:bottom w:val="none" w:sz="0" w:space="0" w:color="auto"/>
        <w:right w:val="none" w:sz="0" w:space="0" w:color="auto"/>
      </w:divBdr>
    </w:div>
    <w:div w:id="1471051054">
      <w:bodyDiv w:val="1"/>
      <w:marLeft w:val="0"/>
      <w:marRight w:val="0"/>
      <w:marTop w:val="0"/>
      <w:marBottom w:val="0"/>
      <w:divBdr>
        <w:top w:val="none" w:sz="0" w:space="0" w:color="auto"/>
        <w:left w:val="none" w:sz="0" w:space="0" w:color="auto"/>
        <w:bottom w:val="none" w:sz="0" w:space="0" w:color="auto"/>
        <w:right w:val="none" w:sz="0" w:space="0" w:color="auto"/>
      </w:divBdr>
    </w:div>
    <w:div w:id="1524783104">
      <w:bodyDiv w:val="1"/>
      <w:marLeft w:val="0"/>
      <w:marRight w:val="0"/>
      <w:marTop w:val="0"/>
      <w:marBottom w:val="0"/>
      <w:divBdr>
        <w:top w:val="none" w:sz="0" w:space="0" w:color="auto"/>
        <w:left w:val="none" w:sz="0" w:space="0" w:color="auto"/>
        <w:bottom w:val="none" w:sz="0" w:space="0" w:color="auto"/>
        <w:right w:val="none" w:sz="0" w:space="0" w:color="auto"/>
      </w:divBdr>
    </w:div>
    <w:div w:id="1524974873">
      <w:bodyDiv w:val="1"/>
      <w:marLeft w:val="0"/>
      <w:marRight w:val="0"/>
      <w:marTop w:val="0"/>
      <w:marBottom w:val="0"/>
      <w:divBdr>
        <w:top w:val="none" w:sz="0" w:space="0" w:color="auto"/>
        <w:left w:val="none" w:sz="0" w:space="0" w:color="auto"/>
        <w:bottom w:val="none" w:sz="0" w:space="0" w:color="auto"/>
        <w:right w:val="none" w:sz="0" w:space="0" w:color="auto"/>
      </w:divBdr>
    </w:div>
    <w:div w:id="1907954991">
      <w:bodyDiv w:val="1"/>
      <w:marLeft w:val="0"/>
      <w:marRight w:val="0"/>
      <w:marTop w:val="0"/>
      <w:marBottom w:val="0"/>
      <w:divBdr>
        <w:top w:val="none" w:sz="0" w:space="0" w:color="auto"/>
        <w:left w:val="none" w:sz="0" w:space="0" w:color="auto"/>
        <w:bottom w:val="none" w:sz="0" w:space="0" w:color="auto"/>
        <w:right w:val="none" w:sz="0" w:space="0" w:color="auto"/>
      </w:divBdr>
    </w:div>
    <w:div w:id="1931355632">
      <w:bodyDiv w:val="1"/>
      <w:marLeft w:val="0"/>
      <w:marRight w:val="0"/>
      <w:marTop w:val="0"/>
      <w:marBottom w:val="0"/>
      <w:divBdr>
        <w:top w:val="none" w:sz="0" w:space="0" w:color="auto"/>
        <w:left w:val="none" w:sz="0" w:space="0" w:color="auto"/>
        <w:bottom w:val="none" w:sz="0" w:space="0" w:color="auto"/>
        <w:right w:val="none" w:sz="0" w:space="0" w:color="auto"/>
      </w:divBdr>
      <w:divsChild>
        <w:div w:id="940643974">
          <w:marLeft w:val="547"/>
          <w:marRight w:val="0"/>
          <w:marTop w:val="77"/>
          <w:marBottom w:val="0"/>
          <w:divBdr>
            <w:top w:val="none" w:sz="0" w:space="0" w:color="auto"/>
            <w:left w:val="none" w:sz="0" w:space="0" w:color="auto"/>
            <w:bottom w:val="none" w:sz="0" w:space="0" w:color="auto"/>
            <w:right w:val="none" w:sz="0" w:space="0" w:color="auto"/>
          </w:divBdr>
        </w:div>
        <w:div w:id="23529776">
          <w:marLeft w:val="1166"/>
          <w:marRight w:val="0"/>
          <w:marTop w:val="67"/>
          <w:marBottom w:val="0"/>
          <w:divBdr>
            <w:top w:val="none" w:sz="0" w:space="0" w:color="auto"/>
            <w:left w:val="none" w:sz="0" w:space="0" w:color="auto"/>
            <w:bottom w:val="none" w:sz="0" w:space="0" w:color="auto"/>
            <w:right w:val="none" w:sz="0" w:space="0" w:color="auto"/>
          </w:divBdr>
        </w:div>
        <w:div w:id="1288774481">
          <w:marLeft w:val="1166"/>
          <w:marRight w:val="0"/>
          <w:marTop w:val="67"/>
          <w:marBottom w:val="0"/>
          <w:divBdr>
            <w:top w:val="none" w:sz="0" w:space="0" w:color="auto"/>
            <w:left w:val="none" w:sz="0" w:space="0" w:color="auto"/>
            <w:bottom w:val="none" w:sz="0" w:space="0" w:color="auto"/>
            <w:right w:val="none" w:sz="0" w:space="0" w:color="auto"/>
          </w:divBdr>
        </w:div>
        <w:div w:id="1656836438">
          <w:marLeft w:val="1166"/>
          <w:marRight w:val="0"/>
          <w:marTop w:val="67"/>
          <w:marBottom w:val="0"/>
          <w:divBdr>
            <w:top w:val="none" w:sz="0" w:space="0" w:color="auto"/>
            <w:left w:val="none" w:sz="0" w:space="0" w:color="auto"/>
            <w:bottom w:val="none" w:sz="0" w:space="0" w:color="auto"/>
            <w:right w:val="none" w:sz="0" w:space="0" w:color="auto"/>
          </w:divBdr>
        </w:div>
        <w:div w:id="1140461675">
          <w:marLeft w:val="1166"/>
          <w:marRight w:val="0"/>
          <w:marTop w:val="67"/>
          <w:marBottom w:val="0"/>
          <w:divBdr>
            <w:top w:val="none" w:sz="0" w:space="0" w:color="auto"/>
            <w:left w:val="none" w:sz="0" w:space="0" w:color="auto"/>
            <w:bottom w:val="none" w:sz="0" w:space="0" w:color="auto"/>
            <w:right w:val="none" w:sz="0" w:space="0" w:color="auto"/>
          </w:divBdr>
        </w:div>
        <w:div w:id="337732060">
          <w:marLeft w:val="547"/>
          <w:marRight w:val="0"/>
          <w:marTop w:val="77"/>
          <w:marBottom w:val="0"/>
          <w:divBdr>
            <w:top w:val="none" w:sz="0" w:space="0" w:color="auto"/>
            <w:left w:val="none" w:sz="0" w:space="0" w:color="auto"/>
            <w:bottom w:val="none" w:sz="0" w:space="0" w:color="auto"/>
            <w:right w:val="none" w:sz="0" w:space="0" w:color="auto"/>
          </w:divBdr>
        </w:div>
        <w:div w:id="462819820">
          <w:marLeft w:val="1166"/>
          <w:marRight w:val="0"/>
          <w:marTop w:val="67"/>
          <w:marBottom w:val="0"/>
          <w:divBdr>
            <w:top w:val="none" w:sz="0" w:space="0" w:color="auto"/>
            <w:left w:val="none" w:sz="0" w:space="0" w:color="auto"/>
            <w:bottom w:val="none" w:sz="0" w:space="0" w:color="auto"/>
            <w:right w:val="none" w:sz="0" w:space="0" w:color="auto"/>
          </w:divBdr>
        </w:div>
        <w:div w:id="1747872954">
          <w:marLeft w:val="1166"/>
          <w:marRight w:val="0"/>
          <w:marTop w:val="67"/>
          <w:marBottom w:val="0"/>
          <w:divBdr>
            <w:top w:val="none" w:sz="0" w:space="0" w:color="auto"/>
            <w:left w:val="none" w:sz="0" w:space="0" w:color="auto"/>
            <w:bottom w:val="none" w:sz="0" w:space="0" w:color="auto"/>
            <w:right w:val="none" w:sz="0" w:space="0" w:color="auto"/>
          </w:divBdr>
        </w:div>
        <w:div w:id="1375887621">
          <w:marLeft w:val="1166"/>
          <w:marRight w:val="0"/>
          <w:marTop w:val="67"/>
          <w:marBottom w:val="0"/>
          <w:divBdr>
            <w:top w:val="none" w:sz="0" w:space="0" w:color="auto"/>
            <w:left w:val="none" w:sz="0" w:space="0" w:color="auto"/>
            <w:bottom w:val="none" w:sz="0" w:space="0" w:color="auto"/>
            <w:right w:val="none" w:sz="0" w:space="0" w:color="auto"/>
          </w:divBdr>
        </w:div>
        <w:div w:id="1100299458">
          <w:marLeft w:val="1166"/>
          <w:marRight w:val="0"/>
          <w:marTop w:val="67"/>
          <w:marBottom w:val="0"/>
          <w:divBdr>
            <w:top w:val="none" w:sz="0" w:space="0" w:color="auto"/>
            <w:left w:val="none" w:sz="0" w:space="0" w:color="auto"/>
            <w:bottom w:val="none" w:sz="0" w:space="0" w:color="auto"/>
            <w:right w:val="none" w:sz="0" w:space="0" w:color="auto"/>
          </w:divBdr>
        </w:div>
      </w:divsChild>
    </w:div>
    <w:div w:id="21132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9.emf"/><Relationship Id="rId39" Type="http://schemas.openxmlformats.org/officeDocument/2006/relationships/image" Target="media/image22.emf"/><Relationship Id="rId21" Type="http://schemas.openxmlformats.org/officeDocument/2006/relationships/image" Target="media/image5.png"/><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image" Target="media/image30.png"/><Relationship Id="rId50" Type="http://schemas.openxmlformats.org/officeDocument/2006/relationships/image" Target="media/image33.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2.emf"/><Relationship Id="rId11" Type="http://schemas.openxmlformats.org/officeDocument/2006/relationships/image" Target="media/image2.png"/><Relationship Id="rId24" Type="http://schemas.openxmlformats.org/officeDocument/2006/relationships/image" Target="media/image8.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png"/><Relationship Id="rId45" Type="http://schemas.openxmlformats.org/officeDocument/2006/relationships/image" Target="media/image28.emf"/><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1.emf"/><Relationship Id="rId8" Type="http://schemas.openxmlformats.org/officeDocument/2006/relationships/webSettings" Target="webSettings.xml"/><Relationship Id="rId51" Type="http://schemas.openxmlformats.org/officeDocument/2006/relationships/image" Target="media/image34.e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chart" Target="charts/chart1.xml"/><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9.png"/><Relationship Id="rId20" Type="http://schemas.openxmlformats.org/officeDocument/2006/relationships/image" Target="media/image4.emf"/><Relationship Id="rId41" Type="http://schemas.openxmlformats.org/officeDocument/2006/relationships/image" Target="media/image2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image" Target="media/image3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zngodwane\AppData\Local\Microsoft\Windows\INetCache\Content.Outlook\ZJ75WR19\Schedules%20and%20graphs%202020-2021-Draft%20budget%202505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sz="1400"/>
              <a:t>Operating</a:t>
            </a:r>
            <a:r>
              <a:rPr lang="en-ZA" sz="1400" baseline="0"/>
              <a:t> Expenditure - Final Budget 2020/21</a:t>
            </a:r>
            <a:endParaRPr lang="en-ZA" sz="1400"/>
          </a:p>
        </c:rich>
      </c:tx>
      <c:layout>
        <c:manualLayout>
          <c:xMode val="edge"/>
          <c:yMode val="edge"/>
          <c:x val="0.20605812162278603"/>
          <c:y val="1.2987012987012988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1"/>
          <c:order val="1"/>
          <c:tx>
            <c:strRef>
              <c:f>'Operating Expenditure standard'!$E$19</c:f>
              <c:strCache>
                <c:ptCount val="1"/>
                <c:pt idx="0">
                  <c:v>Adjusted Budget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'Operating Expenditure standard'!$A$20:$A$28</c:f>
              <c:strCache>
                <c:ptCount val="9"/>
                <c:pt idx="0">
                  <c:v>Employee related costs</c:v>
                </c:pt>
                <c:pt idx="1">
                  <c:v>Remuneration of councillors</c:v>
                </c:pt>
                <c:pt idx="2">
                  <c:v>Debt impairment</c:v>
                </c:pt>
                <c:pt idx="3">
                  <c:v>Depreciation &amp; asset impairment</c:v>
                </c:pt>
                <c:pt idx="4">
                  <c:v>Finance charges</c:v>
                </c:pt>
                <c:pt idx="5">
                  <c:v>Bulk purchases</c:v>
                </c:pt>
                <c:pt idx="6">
                  <c:v>Contracted services</c:v>
                </c:pt>
                <c:pt idx="7">
                  <c:v>Transfers and grants</c:v>
                </c:pt>
                <c:pt idx="8">
                  <c:v>Other expenditure</c:v>
                </c:pt>
              </c:strCache>
            </c:strRef>
          </c:cat>
          <c:val>
            <c:numRef>
              <c:f>'Operating Expenditure standard'!$E$20:$E$28</c:f>
              <c:numCache>
                <c:formatCode>_(* #,##0,_);_(* \(#,##0,\);_(* "–"?_);_(@_)</c:formatCode>
                <c:ptCount val="9"/>
                <c:pt idx="0">
                  <c:v>308843097.40397298</c:v>
                </c:pt>
                <c:pt idx="1">
                  <c:v>12845389.6666667</c:v>
                </c:pt>
                <c:pt idx="2">
                  <c:v>200000000</c:v>
                </c:pt>
                <c:pt idx="3">
                  <c:v>140000000</c:v>
                </c:pt>
                <c:pt idx="4">
                  <c:v>1260000</c:v>
                </c:pt>
                <c:pt idx="5">
                  <c:v>26138535.149999999</c:v>
                </c:pt>
                <c:pt idx="6">
                  <c:v>141598068</c:v>
                </c:pt>
                <c:pt idx="7">
                  <c:v>97784942</c:v>
                </c:pt>
                <c:pt idx="8">
                  <c:v>351134580.69</c:v>
                </c:pt>
              </c:numCache>
            </c:numRef>
          </c:val>
        </c:ser>
        <c:ser>
          <c:idx val="2"/>
          <c:order val="2"/>
          <c:tx>
            <c:strRef>
              <c:f>'Operating Expenditure standard'!$F$19</c:f>
              <c:strCache>
                <c:ptCount val="1"/>
                <c:pt idx="0">
                  <c:v>Budget Year 2020/21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'Operating Expenditure standard'!$A$20:$A$28</c:f>
              <c:strCache>
                <c:ptCount val="9"/>
                <c:pt idx="0">
                  <c:v>Employee related costs</c:v>
                </c:pt>
                <c:pt idx="1">
                  <c:v>Remuneration of councillors</c:v>
                </c:pt>
                <c:pt idx="2">
                  <c:v>Debt impairment</c:v>
                </c:pt>
                <c:pt idx="3">
                  <c:v>Depreciation &amp; asset impairment</c:v>
                </c:pt>
                <c:pt idx="4">
                  <c:v>Finance charges</c:v>
                </c:pt>
                <c:pt idx="5">
                  <c:v>Bulk purchases</c:v>
                </c:pt>
                <c:pt idx="6">
                  <c:v>Contracted services</c:v>
                </c:pt>
                <c:pt idx="7">
                  <c:v>Transfers and grants</c:v>
                </c:pt>
                <c:pt idx="8">
                  <c:v>Other expenditure</c:v>
                </c:pt>
              </c:strCache>
            </c:strRef>
          </c:cat>
          <c:val>
            <c:numRef>
              <c:f>'Operating Expenditure standard'!$F$20:$F$28</c:f>
              <c:numCache>
                <c:formatCode>_(* #,##0,_);_(* \(#,##0,\);_(* "–"?_);_(@_)</c:formatCode>
                <c:ptCount val="9"/>
                <c:pt idx="0">
                  <c:v>371509000</c:v>
                </c:pt>
                <c:pt idx="1">
                  <c:v>13172923.16</c:v>
                </c:pt>
                <c:pt idx="2">
                  <c:v>129734521</c:v>
                </c:pt>
                <c:pt idx="3">
                  <c:v>128309000</c:v>
                </c:pt>
                <c:pt idx="4">
                  <c:v>500000</c:v>
                </c:pt>
                <c:pt idx="5">
                  <c:v>17321000</c:v>
                </c:pt>
                <c:pt idx="6">
                  <c:v>220518000</c:v>
                </c:pt>
                <c:pt idx="7">
                  <c:v>38031000</c:v>
                </c:pt>
                <c:pt idx="8">
                  <c:v>101030000</c:v>
                </c:pt>
              </c:numCache>
            </c:numRef>
          </c:val>
        </c:ser>
        <c:dLbls>
          <c:showLegendKey val="0"/>
          <c:showVal val="1"/>
          <c:showCatName val="0"/>
          <c:showSerName val="0"/>
          <c:showPercent val="0"/>
          <c:showBubbleSize val="0"/>
        </c:dLbls>
        <c:gapWidth val="150"/>
        <c:shape val="cylinder"/>
        <c:axId val="423504480"/>
        <c:axId val="423506112"/>
        <c:axId val="0"/>
        <c:extLst>
          <c:ext xmlns:c15="http://schemas.microsoft.com/office/drawing/2012/chart" uri="{02D57815-91ED-43cb-92C2-25804820EDAC}">
            <c15:filteredBarSeries>
              <c15:ser>
                <c:idx val="0"/>
                <c:order val="0"/>
                <c:tx>
                  <c:strRef>
                    <c:extLst>
                      <c:ext uri="{02D57815-91ED-43cb-92C2-25804820EDAC}">
                        <c15:formulaRef>
                          <c15:sqref>'Operating Expenditure standard'!$D$19</c15:sqref>
                        </c15:formulaRef>
                      </c:ext>
                    </c:extLst>
                    <c:strCache>
                      <c:ptCount val="1"/>
                      <c:pt idx="0">
                        <c:v>Original Budget </c:v>
                      </c:pt>
                    </c:strCache>
                  </c:strRef>
                </c:tx>
                <c:invertIfNegative val="0"/>
                <c:dLbls>
                  <c:spPr>
                    <a:noFill/>
                    <a:ln>
                      <a:noFill/>
                    </a:ln>
                    <a:effectLst/>
                  </c:sp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'Operating Expenditure standard'!$A$20:$A$28</c15:sqref>
                        </c15:formulaRef>
                      </c:ext>
                    </c:extLst>
                    <c:strCache>
                      <c:ptCount val="9"/>
                      <c:pt idx="0">
                        <c:v>Employee related costs</c:v>
                      </c:pt>
                      <c:pt idx="1">
                        <c:v>Remuneration of councillors</c:v>
                      </c:pt>
                      <c:pt idx="2">
                        <c:v>Debt impairment</c:v>
                      </c:pt>
                      <c:pt idx="3">
                        <c:v>Depreciation &amp; asset impairment</c:v>
                      </c:pt>
                      <c:pt idx="4">
                        <c:v>Finance charges</c:v>
                      </c:pt>
                      <c:pt idx="5">
                        <c:v>Bulk purchases</c:v>
                      </c:pt>
                      <c:pt idx="6">
                        <c:v>Contracted services</c:v>
                      </c:pt>
                      <c:pt idx="7">
                        <c:v>Transfers and grants</c:v>
                      </c:pt>
                      <c:pt idx="8">
                        <c:v>Other expenditure</c:v>
                      </c:pt>
                    </c:strCache>
                  </c:strRef>
                </c:cat>
                <c:val>
                  <c:numRef>
                    <c:extLst>
                      <c:ext uri="{02D57815-91ED-43cb-92C2-25804820EDAC}">
                        <c15:formulaRef>
                          <c15:sqref>'Operating Expenditure standard'!$D$20:$D$28</c15:sqref>
                        </c15:formulaRef>
                      </c:ext>
                    </c:extLst>
                    <c:numCache>
                      <c:formatCode>_(* #,##0,_);_(* \(#,##0,\);_(* "–"?_);_(@_)</c:formatCode>
                      <c:ptCount val="9"/>
                      <c:pt idx="0">
                        <c:v>308843097.40397298</c:v>
                      </c:pt>
                      <c:pt idx="1">
                        <c:v>11071478</c:v>
                      </c:pt>
                      <c:pt idx="2">
                        <c:v>200000000</c:v>
                      </c:pt>
                      <c:pt idx="3">
                        <c:v>140000000</c:v>
                      </c:pt>
                      <c:pt idx="4">
                        <c:v>1260000</c:v>
                      </c:pt>
                      <c:pt idx="5">
                        <c:v>26138535.149999999</c:v>
                      </c:pt>
                      <c:pt idx="6">
                        <c:v>112153273</c:v>
                      </c:pt>
                      <c:pt idx="7">
                        <c:v>206949587</c:v>
                      </c:pt>
                      <c:pt idx="8">
                        <c:v>218849554</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'Operating Expenditure standard'!$H$19</c15:sqref>
                        </c15:formulaRef>
                      </c:ext>
                    </c:extLst>
                    <c:strCache>
                      <c:ptCount val="1"/>
                      <c:pt idx="0">
                        <c:v>Budget Year +  2022/23</c:v>
                      </c:pt>
                    </c:strCache>
                  </c:strRef>
                </c:tx>
                <c:invertIfNegative val="0"/>
                <c:dLbls>
                  <c:spPr>
                    <a:noFill/>
                    <a:ln>
                      <a:noFill/>
                    </a:ln>
                    <a:effectLst/>
                  </c:sp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strRef>
                    <c:extLst xmlns:c15="http://schemas.microsoft.com/office/drawing/2012/chart">
                      <c:ext xmlns:c15="http://schemas.microsoft.com/office/drawing/2012/chart" uri="{02D57815-91ED-43cb-92C2-25804820EDAC}">
                        <c15:formulaRef>
                          <c15:sqref>'Operating Expenditure standard'!$A$20:$A$28</c15:sqref>
                        </c15:formulaRef>
                      </c:ext>
                    </c:extLst>
                    <c:strCache>
                      <c:ptCount val="9"/>
                      <c:pt idx="0">
                        <c:v>Employee related costs</c:v>
                      </c:pt>
                      <c:pt idx="1">
                        <c:v>Remuneration of councillors</c:v>
                      </c:pt>
                      <c:pt idx="2">
                        <c:v>Debt impairment</c:v>
                      </c:pt>
                      <c:pt idx="3">
                        <c:v>Depreciation &amp; asset impairment</c:v>
                      </c:pt>
                      <c:pt idx="4">
                        <c:v>Finance charges</c:v>
                      </c:pt>
                      <c:pt idx="5">
                        <c:v>Bulk purchases</c:v>
                      </c:pt>
                      <c:pt idx="6">
                        <c:v>Contracted services</c:v>
                      </c:pt>
                      <c:pt idx="7">
                        <c:v>Transfers and grants</c:v>
                      </c:pt>
                      <c:pt idx="8">
                        <c:v>Other expenditure</c:v>
                      </c:pt>
                    </c:strCache>
                  </c:strRef>
                </c:cat>
                <c:val>
                  <c:numRef>
                    <c:extLst xmlns:c15="http://schemas.microsoft.com/office/drawing/2012/chart">
                      <c:ext xmlns:c15="http://schemas.microsoft.com/office/drawing/2012/chart" uri="{02D57815-91ED-43cb-92C2-25804820EDAC}">
                        <c15:formulaRef>
                          <c15:sqref>'Operating Expenditure standard'!$H$20:$H$28</c15:sqref>
                        </c15:formulaRef>
                      </c:ext>
                    </c:extLst>
                    <c:numCache>
                      <c:formatCode>_(* #,##0,_);_(* \(#,##0,\);_(* "–"?_);_(@_)</c:formatCode>
                      <c:ptCount val="9"/>
                      <c:pt idx="0">
                        <c:v>410816000</c:v>
                      </c:pt>
                      <c:pt idx="1">
                        <c:v>14801096.462576</c:v>
                      </c:pt>
                      <c:pt idx="2">
                        <c:v>140320857.9136</c:v>
                      </c:pt>
                      <c:pt idx="3">
                        <c:v>138779000</c:v>
                      </c:pt>
                      <c:pt idx="4">
                        <c:v>582000</c:v>
                      </c:pt>
                      <c:pt idx="5">
                        <c:v>19506000</c:v>
                      </c:pt>
                      <c:pt idx="6">
                        <c:v>247750000</c:v>
                      </c:pt>
                      <c:pt idx="7">
                        <c:v>34744411</c:v>
                      </c:pt>
                      <c:pt idx="8">
                        <c:v>108916000</c:v>
                      </c:pt>
                    </c:numCache>
                  </c:numRef>
                </c:val>
              </c15:ser>
            </c15:filteredBarSeries>
          </c:ext>
        </c:extLst>
      </c:bar3DChart>
      <c:catAx>
        <c:axId val="423504480"/>
        <c:scaling>
          <c:orientation val="minMax"/>
        </c:scaling>
        <c:delete val="0"/>
        <c:axPos val="l"/>
        <c:numFmt formatCode="General" sourceLinked="0"/>
        <c:majorTickMark val="none"/>
        <c:minorTickMark val="none"/>
        <c:tickLblPos val="nextTo"/>
        <c:crossAx val="423506112"/>
        <c:crosses val="autoZero"/>
        <c:auto val="1"/>
        <c:lblAlgn val="ctr"/>
        <c:lblOffset val="100"/>
        <c:noMultiLvlLbl val="0"/>
      </c:catAx>
      <c:valAx>
        <c:axId val="423506112"/>
        <c:scaling>
          <c:orientation val="minMax"/>
        </c:scaling>
        <c:delete val="1"/>
        <c:axPos val="b"/>
        <c:numFmt formatCode="_(* #,##0,_);_(* \(#,##0,\);_(* &quot;–&quot;?_);_(@_)" sourceLinked="1"/>
        <c:majorTickMark val="out"/>
        <c:minorTickMark val="none"/>
        <c:tickLblPos val="nextTo"/>
        <c:crossAx val="42350448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BC17-51C4-40A8-893B-9EA7E27AFC88}"/>
</file>

<file path=customXml/itemProps2.xml><?xml version="1.0" encoding="utf-8"?>
<ds:datastoreItem xmlns:ds="http://schemas.openxmlformats.org/officeDocument/2006/customXml" ds:itemID="{E4A2E05A-AE75-4E87-A5C3-B0B6AE4F6DCC}"/>
</file>

<file path=customXml/itemProps3.xml><?xml version="1.0" encoding="utf-8"?>
<ds:datastoreItem xmlns:ds="http://schemas.openxmlformats.org/officeDocument/2006/customXml" ds:itemID="{30254296-EB84-42C4-896A-9F8E7FC94F39}"/>
</file>

<file path=customXml/itemProps4.xml><?xml version="1.0" encoding="utf-8"?>
<ds:datastoreItem xmlns:ds="http://schemas.openxmlformats.org/officeDocument/2006/customXml" ds:itemID="{C3264569-1D27-47DC-AA71-53F76ABC546A}"/>
</file>

<file path=docProps/app.xml><?xml version="1.0" encoding="utf-8"?>
<Properties xmlns="http://schemas.openxmlformats.org/officeDocument/2006/extended-properties" xmlns:vt="http://schemas.openxmlformats.org/officeDocument/2006/docPropsVTypes">
  <Template>Normal</Template>
  <TotalTime>25</TotalTime>
  <Pages>1</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Development Bank Of SA</Company>
  <LinksUpToDate>false</LinksUpToDate>
  <CharactersWithSpaces>34499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Zukiswa Ngodwane</cp:lastModifiedBy>
  <cp:revision>2</cp:revision>
  <cp:lastPrinted>2017-03-15T14:49:00Z</cp:lastPrinted>
  <dcterms:created xsi:type="dcterms:W3CDTF">2020-06-30T14:27:00Z</dcterms:created>
  <dcterms:modified xsi:type="dcterms:W3CDTF">2020-06-30T14:27:00Z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